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仿宋_GB2312" w:cs="Times New Roman"/>
          <w:b/>
          <w:bCs/>
          <w:color w:val="auto"/>
          <w:sz w:val="52"/>
          <w:szCs w:val="52"/>
        </w:rPr>
      </w:pPr>
    </w:p>
    <w:p>
      <w:pPr>
        <w:jc w:val="center"/>
        <w:rPr>
          <w:rFonts w:hint="default" w:ascii="Times New Roman" w:hAnsi="Times New Roman" w:eastAsia="仿宋_GB2312" w:cs="Times New Roman"/>
          <w:b/>
          <w:bCs/>
          <w:color w:val="auto"/>
          <w:sz w:val="52"/>
          <w:szCs w:val="52"/>
        </w:rPr>
      </w:pPr>
    </w:p>
    <w:p>
      <w:pPr>
        <w:jc w:val="center"/>
        <w:rPr>
          <w:rFonts w:hint="default" w:ascii="Times New Roman" w:hAnsi="Times New Roman" w:eastAsia="仿宋_GB2312" w:cs="Times New Roman"/>
          <w:b/>
          <w:bCs/>
          <w:color w:val="auto"/>
          <w:sz w:val="52"/>
          <w:szCs w:val="52"/>
        </w:rPr>
      </w:pPr>
    </w:p>
    <w:p>
      <w:pPr>
        <w:jc w:val="center"/>
        <w:rPr>
          <w:rFonts w:hint="default" w:ascii="Times New Roman" w:hAnsi="Times New Roman" w:eastAsia="仿宋_GB2312" w:cs="Times New Roman"/>
          <w:b/>
          <w:bCs/>
          <w:color w:val="auto"/>
          <w:sz w:val="52"/>
          <w:szCs w:val="52"/>
        </w:rPr>
      </w:pPr>
      <w:r>
        <w:rPr>
          <w:rFonts w:hint="default" w:ascii="Times New Roman" w:hAnsi="Times New Roman" w:eastAsia="仿宋_GB2312" w:cs="Times New Roman"/>
          <w:b/>
          <w:bCs/>
          <w:color w:val="auto"/>
          <w:sz w:val="52"/>
          <w:szCs w:val="52"/>
        </w:rPr>
        <w:t>宁国市石口金属表面处理有限公司</w:t>
      </w:r>
      <w:r>
        <w:rPr>
          <w:rFonts w:hint="eastAsia" w:ascii="Times New Roman" w:hAnsi="Times New Roman" w:eastAsia="仿宋_GB2312" w:cs="Times New Roman"/>
          <w:b/>
          <w:bCs/>
          <w:color w:val="auto"/>
          <w:sz w:val="52"/>
          <w:szCs w:val="52"/>
          <w:lang w:eastAsia="zh-CN"/>
        </w:rPr>
        <w:t>石口公司</w:t>
      </w:r>
      <w:r>
        <w:rPr>
          <w:rFonts w:hint="default" w:ascii="Times New Roman" w:hAnsi="Times New Roman" w:eastAsia="仿宋_GB2312" w:cs="Times New Roman"/>
          <w:b/>
          <w:bCs/>
          <w:color w:val="auto"/>
          <w:sz w:val="52"/>
          <w:szCs w:val="52"/>
        </w:rPr>
        <w:t>整体搬迁及扩建项目</w:t>
      </w:r>
      <w:r>
        <w:rPr>
          <w:rFonts w:hint="eastAsia" w:ascii="Times New Roman" w:hAnsi="Times New Roman" w:eastAsia="仿宋_GB2312" w:cs="Times New Roman"/>
          <w:b/>
          <w:bCs/>
          <w:color w:val="auto"/>
          <w:sz w:val="52"/>
          <w:szCs w:val="52"/>
          <w:lang w:eastAsia="zh-CN"/>
        </w:rPr>
        <w:t>固体废物</w:t>
      </w:r>
      <w:r>
        <w:rPr>
          <w:rFonts w:hint="default" w:ascii="Times New Roman" w:hAnsi="Times New Roman" w:eastAsia="仿宋_GB2312" w:cs="Times New Roman"/>
          <w:b/>
          <w:bCs/>
          <w:color w:val="auto"/>
          <w:sz w:val="52"/>
          <w:szCs w:val="52"/>
        </w:rPr>
        <w:t>验收</w:t>
      </w:r>
      <w:r>
        <w:rPr>
          <w:rFonts w:hint="eastAsia" w:ascii="Times New Roman" w:hAnsi="Times New Roman" w:eastAsia="仿宋_GB2312" w:cs="Times New Roman"/>
          <w:b/>
          <w:bCs/>
          <w:color w:val="auto"/>
          <w:sz w:val="52"/>
          <w:szCs w:val="52"/>
          <w:lang w:eastAsia="zh-CN"/>
        </w:rPr>
        <w:t>调查</w:t>
      </w:r>
      <w:r>
        <w:rPr>
          <w:rFonts w:hint="default" w:ascii="Times New Roman" w:hAnsi="Times New Roman" w:eastAsia="仿宋_GB2312" w:cs="Times New Roman"/>
          <w:b/>
          <w:bCs/>
          <w:color w:val="auto"/>
          <w:sz w:val="52"/>
          <w:szCs w:val="52"/>
        </w:rPr>
        <w:t>报告</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left"/>
        <w:textAlignment w:val="auto"/>
        <w:rPr>
          <w:rFonts w:hint="default" w:ascii="Times New Roman" w:hAnsi="Times New Roman" w:eastAsia="宋体" w:cs="Times New Roman"/>
          <w:color w:val="000000"/>
          <w:kern w:val="0"/>
          <w:sz w:val="28"/>
          <w:szCs w:val="28"/>
          <w:lang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left"/>
        <w:textAlignment w:val="auto"/>
        <w:rPr>
          <w:rFonts w:hint="default" w:ascii="Times New Roman" w:hAnsi="Times New Roman" w:eastAsia="宋体" w:cs="Times New Roman"/>
          <w:color w:val="000000"/>
          <w:kern w:val="0"/>
          <w:sz w:val="28"/>
          <w:szCs w:val="28"/>
          <w:lang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left"/>
        <w:textAlignment w:val="auto"/>
        <w:rPr>
          <w:rFonts w:hint="default" w:ascii="Times New Roman" w:hAnsi="Times New Roman" w:eastAsia="宋体" w:cs="Times New Roman"/>
          <w:color w:val="000000"/>
          <w:kern w:val="0"/>
          <w:sz w:val="28"/>
          <w:szCs w:val="28"/>
          <w:lang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left"/>
        <w:textAlignment w:val="auto"/>
        <w:rPr>
          <w:rFonts w:hint="default" w:ascii="Times New Roman" w:hAnsi="Times New Roman" w:eastAsia="宋体" w:cs="Times New Roman"/>
          <w:color w:val="000000"/>
          <w:kern w:val="0"/>
          <w:sz w:val="28"/>
          <w:szCs w:val="28"/>
          <w:lang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left"/>
        <w:textAlignment w:val="auto"/>
        <w:rPr>
          <w:rFonts w:hint="default" w:ascii="Times New Roman" w:hAnsi="Times New Roman" w:eastAsia="宋体" w:cs="Times New Roman"/>
          <w:color w:val="000000"/>
          <w:kern w:val="0"/>
          <w:sz w:val="28"/>
          <w:szCs w:val="28"/>
          <w:lang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left"/>
        <w:textAlignment w:val="auto"/>
        <w:rPr>
          <w:rFonts w:hint="default" w:ascii="Times New Roman" w:hAnsi="Times New Roman" w:eastAsia="宋体" w:cs="Times New Roman"/>
          <w:color w:val="000000"/>
          <w:kern w:val="0"/>
          <w:sz w:val="28"/>
          <w:szCs w:val="28"/>
          <w:lang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left"/>
        <w:textAlignment w:val="auto"/>
        <w:rPr>
          <w:rFonts w:hint="default" w:ascii="Times New Roman" w:hAnsi="Times New Roman" w:eastAsia="宋体" w:cs="Times New Roman"/>
          <w:color w:val="000000"/>
          <w:kern w:val="0"/>
          <w:sz w:val="28"/>
          <w:szCs w:val="28"/>
          <w:lang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left"/>
        <w:textAlignment w:val="auto"/>
        <w:rPr>
          <w:rFonts w:hint="default" w:ascii="Times New Roman" w:hAnsi="Times New Roman" w:eastAsia="宋体" w:cs="Times New Roman"/>
          <w:color w:val="000000"/>
          <w:kern w:val="0"/>
          <w:sz w:val="28"/>
          <w:szCs w:val="28"/>
          <w:lang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left"/>
        <w:textAlignment w:val="auto"/>
        <w:rPr>
          <w:rFonts w:hint="default" w:ascii="Times New Roman" w:hAnsi="Times New Roman" w:eastAsia="宋体" w:cs="Times New Roman"/>
          <w:color w:val="000000"/>
          <w:kern w:val="0"/>
          <w:sz w:val="28"/>
          <w:szCs w:val="28"/>
          <w:lang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left"/>
        <w:textAlignment w:val="auto"/>
        <w:rPr>
          <w:rFonts w:hint="default" w:ascii="Times New Roman" w:hAnsi="Times New Roman" w:eastAsia="宋体" w:cs="Times New Roman"/>
          <w:color w:val="000000"/>
          <w:kern w:val="0"/>
          <w:sz w:val="28"/>
          <w:szCs w:val="28"/>
          <w:lang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500" w:firstLineChars="500"/>
        <w:jc w:val="left"/>
        <w:textAlignment w:val="auto"/>
        <w:rPr>
          <w:rFonts w:hint="eastAsia" w:ascii="仿宋" w:hAnsi="仿宋" w:eastAsia="仿宋" w:cs="仿宋"/>
          <w:color w:val="000000"/>
          <w:kern w:val="0"/>
          <w:sz w:val="30"/>
          <w:szCs w:val="30"/>
          <w:lang w:val="en-US" w:eastAsia="zh-CN"/>
        </w:rPr>
      </w:pPr>
      <w:r>
        <w:rPr>
          <w:rFonts w:hint="eastAsia" w:ascii="仿宋" w:hAnsi="仿宋" w:eastAsia="仿宋" w:cs="仿宋"/>
          <w:color w:val="000000"/>
          <w:kern w:val="0"/>
          <w:sz w:val="30"/>
          <w:szCs w:val="30"/>
          <w:lang w:eastAsia="zh-CN"/>
        </w:rPr>
        <w:t>建设</w:t>
      </w:r>
      <w:r>
        <w:rPr>
          <w:rFonts w:hint="eastAsia" w:ascii="仿宋" w:hAnsi="仿宋" w:eastAsia="仿宋" w:cs="仿宋"/>
          <w:color w:val="000000"/>
          <w:kern w:val="0"/>
          <w:sz w:val="30"/>
          <w:szCs w:val="30"/>
        </w:rPr>
        <w:t>单位</w:t>
      </w:r>
      <w:r>
        <w:rPr>
          <w:rFonts w:hint="eastAsia" w:ascii="仿宋" w:hAnsi="仿宋" w:eastAsia="仿宋" w:cs="仿宋"/>
          <w:color w:val="000000"/>
          <w:kern w:val="0"/>
          <w:sz w:val="30"/>
          <w:szCs w:val="30"/>
          <w:lang w:eastAsia="zh-CN"/>
        </w:rPr>
        <w:t>：</w:t>
      </w:r>
      <w:r>
        <w:rPr>
          <w:rFonts w:hint="eastAsia" w:ascii="仿宋" w:hAnsi="仿宋" w:eastAsia="仿宋" w:cs="仿宋"/>
          <w:color w:val="000000"/>
          <w:sz w:val="30"/>
          <w:szCs w:val="30"/>
          <w:lang w:eastAsia="zh-CN"/>
        </w:rPr>
        <w:t>宁国市石口金属表面处理有限公司</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500" w:firstLineChars="500"/>
        <w:jc w:val="both"/>
        <w:textAlignment w:val="auto"/>
        <w:rPr>
          <w:rFonts w:hint="eastAsia" w:ascii="仿宋" w:hAnsi="仿宋" w:eastAsia="仿宋" w:cs="仿宋"/>
          <w:b w:val="0"/>
          <w:bCs w:val="0"/>
          <w:color w:val="000000"/>
          <w:kern w:val="0"/>
          <w:sz w:val="30"/>
          <w:szCs w:val="30"/>
        </w:rPr>
      </w:pPr>
      <w:r>
        <w:rPr>
          <w:rFonts w:hint="eastAsia" w:ascii="仿宋" w:hAnsi="仿宋" w:eastAsia="仿宋" w:cs="仿宋"/>
          <w:color w:val="000000"/>
          <w:kern w:val="0"/>
          <w:sz w:val="30"/>
          <w:szCs w:val="30"/>
        </w:rPr>
        <w:t>编制单位</w:t>
      </w:r>
      <w:r>
        <w:rPr>
          <w:rFonts w:hint="eastAsia" w:ascii="仿宋" w:hAnsi="仿宋" w:eastAsia="仿宋" w:cs="仿宋"/>
          <w:color w:val="000000"/>
          <w:kern w:val="0"/>
          <w:sz w:val="30"/>
          <w:szCs w:val="30"/>
          <w:lang w:eastAsia="zh-CN"/>
        </w:rPr>
        <w:t>：</w:t>
      </w:r>
      <w:r>
        <w:rPr>
          <w:rFonts w:hint="eastAsia" w:ascii="仿宋" w:hAnsi="仿宋" w:eastAsia="仿宋" w:cs="仿宋"/>
          <w:b w:val="0"/>
          <w:bCs w:val="0"/>
          <w:color w:val="000000"/>
          <w:kern w:val="0"/>
          <w:sz w:val="30"/>
          <w:szCs w:val="30"/>
        </w:rPr>
        <w:t>宁国</w:t>
      </w:r>
      <w:r>
        <w:rPr>
          <w:rFonts w:hint="eastAsia" w:ascii="仿宋" w:hAnsi="仿宋" w:eastAsia="仿宋" w:cs="仿宋"/>
          <w:b w:val="0"/>
          <w:bCs w:val="0"/>
          <w:color w:val="000000"/>
          <w:kern w:val="0"/>
          <w:sz w:val="30"/>
          <w:szCs w:val="30"/>
          <w:lang w:val="en-US" w:eastAsia="zh-CN"/>
        </w:rPr>
        <w:t>市浚成环境检测</w:t>
      </w:r>
      <w:r>
        <w:rPr>
          <w:rFonts w:hint="eastAsia" w:ascii="仿宋" w:hAnsi="仿宋" w:eastAsia="仿宋" w:cs="仿宋"/>
          <w:b w:val="0"/>
          <w:bCs w:val="0"/>
          <w:color w:val="000000"/>
          <w:kern w:val="0"/>
          <w:sz w:val="30"/>
          <w:szCs w:val="30"/>
        </w:rPr>
        <w:t>有限公司</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500" w:firstLineChars="500"/>
        <w:jc w:val="both"/>
        <w:textAlignment w:val="auto"/>
        <w:rPr>
          <w:rFonts w:hint="eastAsia" w:ascii="仿宋" w:hAnsi="仿宋" w:eastAsia="仿宋" w:cs="仿宋"/>
          <w:b w:val="0"/>
          <w:bCs w:val="0"/>
          <w:color w:val="000000"/>
          <w:kern w:val="0"/>
          <w:sz w:val="30"/>
          <w:szCs w:val="30"/>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仿宋" w:hAnsi="仿宋" w:eastAsia="仿宋" w:cs="仿宋"/>
          <w:b w:val="0"/>
          <w:bCs w:val="0"/>
          <w:color w:val="000000"/>
          <w:kern w:val="0"/>
          <w:sz w:val="30"/>
          <w:szCs w:val="30"/>
          <w:lang w:eastAsia="zh-CN"/>
        </w:rPr>
        <w:t>编制日期：</w:t>
      </w:r>
      <w:r>
        <w:rPr>
          <w:rFonts w:hint="eastAsia" w:ascii="仿宋" w:hAnsi="仿宋" w:eastAsia="仿宋" w:cs="仿宋"/>
          <w:b w:val="0"/>
          <w:bCs w:val="0"/>
          <w:color w:val="000000"/>
          <w:kern w:val="0"/>
          <w:sz w:val="30"/>
          <w:szCs w:val="30"/>
        </w:rPr>
        <w:t>二〇</w:t>
      </w:r>
      <w:r>
        <w:rPr>
          <w:rFonts w:hint="eastAsia" w:ascii="仿宋" w:hAnsi="仿宋" w:eastAsia="仿宋" w:cs="仿宋"/>
          <w:b w:val="0"/>
          <w:bCs w:val="0"/>
          <w:color w:val="000000"/>
          <w:kern w:val="0"/>
          <w:sz w:val="30"/>
          <w:szCs w:val="30"/>
          <w:lang w:val="en-US" w:eastAsia="zh-CN"/>
        </w:rPr>
        <w:t>二</w:t>
      </w:r>
      <w:r>
        <w:rPr>
          <w:rFonts w:hint="eastAsia" w:ascii="仿宋" w:hAnsi="仿宋" w:eastAsia="仿宋" w:cs="仿宋"/>
          <w:b w:val="0"/>
          <w:bCs w:val="0"/>
          <w:color w:val="000000"/>
          <w:kern w:val="0"/>
          <w:sz w:val="30"/>
          <w:szCs w:val="30"/>
          <w:lang w:eastAsia="zh-CN"/>
        </w:rPr>
        <w:t>一</w:t>
      </w:r>
      <w:r>
        <w:rPr>
          <w:rFonts w:hint="eastAsia" w:ascii="仿宋" w:hAnsi="仿宋" w:eastAsia="仿宋" w:cs="仿宋"/>
          <w:b w:val="0"/>
          <w:bCs w:val="0"/>
          <w:color w:val="000000"/>
          <w:kern w:val="0"/>
          <w:sz w:val="30"/>
          <w:szCs w:val="30"/>
        </w:rPr>
        <w:t>年</w:t>
      </w:r>
      <w:r>
        <w:rPr>
          <w:rFonts w:hint="eastAsia" w:ascii="仿宋" w:hAnsi="仿宋" w:eastAsia="仿宋" w:cs="仿宋"/>
          <w:b w:val="0"/>
          <w:bCs w:val="0"/>
          <w:color w:val="000000"/>
          <w:kern w:val="0"/>
          <w:sz w:val="30"/>
          <w:szCs w:val="30"/>
          <w:lang w:eastAsia="zh-CN"/>
        </w:rPr>
        <w:t>九</w:t>
      </w:r>
      <w:r>
        <w:rPr>
          <w:rFonts w:hint="eastAsia" w:ascii="仿宋" w:hAnsi="仿宋" w:eastAsia="仿宋" w:cs="仿宋"/>
          <w:b w:val="0"/>
          <w:bCs w:val="0"/>
          <w:color w:val="000000"/>
          <w:kern w:val="0"/>
          <w:sz w:val="30"/>
          <w:szCs w:val="30"/>
        </w:rPr>
        <w:t>月</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eastAsia" w:ascii="仿宋" w:hAnsi="仿宋" w:eastAsia="仿宋" w:cs="仿宋"/>
          <w:color w:val="000000"/>
          <w:sz w:val="28"/>
        </w:rPr>
      </w:pPr>
      <w:r>
        <w:rPr>
          <w:rFonts w:hint="eastAsia" w:ascii="仿宋" w:hAnsi="仿宋" w:eastAsia="仿宋" w:cs="仿宋"/>
          <w:b/>
          <w:color w:val="000000"/>
          <w:sz w:val="28"/>
        </w:rPr>
        <w:t>建设单位</w:t>
      </w:r>
      <w:r>
        <w:rPr>
          <w:rFonts w:hint="eastAsia" w:ascii="仿宋" w:hAnsi="仿宋" w:eastAsia="仿宋" w:cs="仿宋"/>
          <w:b/>
          <w:color w:val="000000"/>
          <w:sz w:val="28"/>
          <w:highlight w:val="none"/>
        </w:rPr>
        <w:t>法人代表</w:t>
      </w:r>
      <w:r>
        <w:rPr>
          <w:rFonts w:hint="eastAsia" w:ascii="仿宋" w:hAnsi="仿宋" w:eastAsia="仿宋" w:cs="仿宋"/>
          <w:b/>
          <w:color w:val="000000"/>
          <w:sz w:val="28"/>
        </w:rPr>
        <w:t>:</w:t>
      </w:r>
      <w:r>
        <w:rPr>
          <w:rFonts w:hint="eastAsia" w:ascii="仿宋" w:hAnsi="仿宋" w:eastAsia="仿宋" w:cs="仿宋"/>
          <w:sz w:val="28"/>
          <w:szCs w:val="28"/>
          <w:lang w:eastAsia="zh-CN"/>
        </w:rPr>
        <w:t>万桂芳</w:t>
      </w:r>
      <w:r>
        <w:rPr>
          <w:rFonts w:hint="eastAsia" w:ascii="仿宋" w:hAnsi="仿宋" w:eastAsia="仿宋" w:cs="仿宋"/>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eastAsia" w:ascii="仿宋" w:hAnsi="仿宋" w:eastAsia="仿宋" w:cs="仿宋"/>
          <w:b/>
          <w:color w:val="000000"/>
          <w:sz w:val="28"/>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eastAsia" w:ascii="仿宋" w:hAnsi="仿宋" w:eastAsia="仿宋" w:cs="仿宋"/>
          <w:color w:val="000000"/>
          <w:sz w:val="28"/>
        </w:rPr>
      </w:pPr>
      <w:r>
        <w:rPr>
          <w:rFonts w:hint="eastAsia" w:ascii="仿宋" w:hAnsi="仿宋" w:eastAsia="仿宋" w:cs="仿宋"/>
          <w:b/>
          <w:color w:val="000000"/>
          <w:sz w:val="28"/>
        </w:rPr>
        <w:t>编制单位</w:t>
      </w:r>
      <w:r>
        <w:rPr>
          <w:rFonts w:hint="eastAsia" w:ascii="仿宋" w:hAnsi="仿宋" w:eastAsia="仿宋" w:cs="仿宋"/>
          <w:b/>
          <w:color w:val="000000"/>
          <w:sz w:val="28"/>
          <w:highlight w:val="none"/>
        </w:rPr>
        <w:t>法人代表</w:t>
      </w:r>
      <w:r>
        <w:rPr>
          <w:rFonts w:hint="eastAsia" w:ascii="仿宋" w:hAnsi="仿宋" w:eastAsia="仿宋" w:cs="仿宋"/>
          <w:b/>
          <w:color w:val="000000"/>
          <w:sz w:val="28"/>
        </w:rPr>
        <w:t>:</w:t>
      </w:r>
      <w:r>
        <w:rPr>
          <w:rFonts w:hint="eastAsia" w:ascii="仿宋" w:hAnsi="仿宋" w:eastAsia="仿宋" w:cs="仿宋"/>
          <w:sz w:val="28"/>
          <w:szCs w:val="28"/>
        </w:rPr>
        <w:t>杨明辉</w:t>
      </w:r>
      <w:r>
        <w:rPr>
          <w:rFonts w:hint="eastAsia" w:ascii="仿宋" w:hAnsi="仿宋" w:eastAsia="仿宋" w:cs="仿宋"/>
          <w:color w:val="000000"/>
          <w:sz w:val="28"/>
        </w:rPr>
        <w:tab/>
      </w:r>
      <w:r>
        <w:rPr>
          <w:rFonts w:hint="eastAsia" w:ascii="仿宋" w:hAnsi="仿宋" w:eastAsia="仿宋" w:cs="仿宋"/>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宋体" w:cs="Times New Roman"/>
          <w:color w:val="000000"/>
          <w:sz w:val="28"/>
        </w:rPr>
      </w:pPr>
      <w:r>
        <w:rPr>
          <w:rFonts w:hint="eastAsia" w:ascii="仿宋" w:hAnsi="仿宋" w:eastAsia="仿宋" w:cs="仿宋"/>
          <w:b/>
          <w:bCs/>
          <w:color w:val="000000"/>
          <w:sz w:val="28"/>
          <w:lang w:eastAsia="zh-CN"/>
        </w:rPr>
        <w:t>项目负责人：</w:t>
      </w:r>
      <w:r>
        <w:rPr>
          <w:rFonts w:hint="eastAsia" w:ascii="仿宋" w:hAnsi="仿宋" w:eastAsia="仿宋" w:cs="仿宋"/>
          <w:b w:val="0"/>
          <w:bCs w:val="0"/>
          <w:color w:val="000000"/>
          <w:sz w:val="28"/>
          <w:lang w:eastAsia="zh-CN"/>
        </w:rPr>
        <w:t>兰天俣</w:t>
      </w:r>
      <w:r>
        <w:rPr>
          <w:rFonts w:hint="eastAsia" w:ascii="仿宋" w:hAnsi="仿宋" w:eastAsia="仿宋" w:cs="仿宋"/>
          <w:b/>
          <w:bCs/>
          <w:color w:val="000000"/>
          <w:sz w:val="28"/>
        </w:rPr>
        <w:t xml:space="preserve"> </w:t>
      </w:r>
      <w:r>
        <w:rPr>
          <w:rFonts w:hint="eastAsia" w:ascii="仿宋" w:hAnsi="仿宋" w:eastAsia="仿宋" w:cs="仿宋"/>
          <w:color w:val="000000"/>
          <w:sz w:val="28"/>
        </w:rPr>
        <w:t xml:space="preserve">  </w:t>
      </w:r>
      <w:r>
        <w:rPr>
          <w:rFonts w:hint="default" w:ascii="Times New Roman" w:hAnsi="Times New Roman" w:eastAsia="宋体"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宋体" w:cs="Times New Roman"/>
          <w:color w:val="000000"/>
          <w:sz w:val="28"/>
        </w:rPr>
      </w:pPr>
      <w:r>
        <w:rPr>
          <w:rFonts w:hint="default" w:ascii="Times New Roman" w:hAnsi="Times New Roman" w:eastAsia="宋体" w:cs="Times New Roman"/>
          <w:color w:val="000000"/>
          <w:sz w:val="28"/>
        </w:rPr>
        <w:tab/>
      </w:r>
    </w:p>
    <w:p>
      <w:pPr>
        <w:spacing w:line="360" w:lineRule="auto"/>
        <w:rPr>
          <w:rFonts w:hint="default" w:ascii="Times New Roman" w:hAnsi="Times New Roman" w:eastAsia="宋体" w:cs="Times New Roman"/>
          <w:color w:val="000000"/>
          <w:sz w:val="28"/>
        </w:rPr>
      </w:pPr>
      <w:r>
        <w:rPr>
          <w:rFonts w:hint="default" w:ascii="Times New Roman" w:hAnsi="Times New Roman" w:eastAsia="宋体" w:cs="Times New Roman"/>
          <w:color w:val="000000"/>
          <w:sz w:val="28"/>
        </w:rPr>
        <w:tab/>
      </w:r>
    </w:p>
    <w:p>
      <w:pPr>
        <w:spacing w:line="360" w:lineRule="auto"/>
        <w:rPr>
          <w:rFonts w:hint="default" w:ascii="Times New Roman" w:hAnsi="Times New Roman" w:eastAsia="宋体" w:cs="Times New Roman"/>
          <w:color w:val="000000"/>
          <w:sz w:val="28"/>
        </w:rPr>
      </w:pPr>
    </w:p>
    <w:p>
      <w:pPr>
        <w:tabs>
          <w:tab w:val="left" w:pos="984"/>
        </w:tabs>
        <w:spacing w:line="360" w:lineRule="auto"/>
        <w:rPr>
          <w:rFonts w:hint="default" w:ascii="Times New Roman" w:hAnsi="Times New Roman" w:eastAsia="宋体" w:cs="Times New Roman"/>
          <w:color w:val="000000"/>
          <w:sz w:val="28"/>
        </w:rPr>
      </w:pPr>
      <w:r>
        <w:rPr>
          <w:rFonts w:hint="default" w:ascii="Times New Roman" w:hAnsi="Times New Roman" w:eastAsia="宋体" w:cs="Times New Roman"/>
          <w:color w:val="000000"/>
          <w:sz w:val="28"/>
        </w:rPr>
        <w:tab/>
      </w:r>
    </w:p>
    <w:p>
      <w:pPr>
        <w:tabs>
          <w:tab w:val="left" w:pos="984"/>
        </w:tabs>
        <w:spacing w:line="360" w:lineRule="auto"/>
        <w:rPr>
          <w:rFonts w:hint="default" w:ascii="Times New Roman" w:hAnsi="Times New Roman" w:eastAsia="宋体" w:cs="Times New Roman"/>
          <w:color w:val="000000"/>
          <w:sz w:val="28"/>
        </w:rPr>
      </w:pPr>
    </w:p>
    <w:p>
      <w:pPr>
        <w:spacing w:line="360" w:lineRule="auto"/>
        <w:rPr>
          <w:rFonts w:hint="default" w:ascii="Times New Roman" w:hAnsi="Times New Roman" w:eastAsia="宋体" w:cs="Times New Roman"/>
          <w:color w:val="000000"/>
          <w:sz w:val="28"/>
        </w:rPr>
      </w:pPr>
    </w:p>
    <w:p>
      <w:pPr>
        <w:spacing w:line="360" w:lineRule="auto"/>
        <w:rPr>
          <w:rFonts w:hint="default" w:ascii="Times New Roman" w:hAnsi="Times New Roman" w:eastAsia="宋体" w:cs="Times New Roman"/>
          <w:color w:val="000000"/>
          <w:sz w:val="28"/>
        </w:rPr>
      </w:pPr>
    </w:p>
    <w:p>
      <w:pPr>
        <w:spacing w:line="360" w:lineRule="auto"/>
        <w:rPr>
          <w:rFonts w:hint="default" w:ascii="Times New Roman" w:hAnsi="Times New Roman" w:eastAsia="宋体" w:cs="Times New Roman"/>
          <w:color w:val="000000"/>
          <w:sz w:val="28"/>
        </w:rPr>
      </w:pPr>
    </w:p>
    <w:p>
      <w:pPr>
        <w:spacing w:line="360" w:lineRule="auto"/>
        <w:rPr>
          <w:rFonts w:hint="default" w:ascii="Times New Roman" w:hAnsi="Times New Roman" w:eastAsia="宋体" w:cs="Times New Roman"/>
          <w:color w:val="000000"/>
          <w:sz w:val="28"/>
        </w:rPr>
      </w:pPr>
    </w:p>
    <w:p>
      <w:pPr>
        <w:spacing w:line="360" w:lineRule="auto"/>
        <w:rPr>
          <w:rFonts w:hint="default" w:ascii="Times New Roman" w:hAnsi="Times New Roman" w:eastAsia="宋体" w:cs="Times New Roman"/>
          <w:color w:val="000000"/>
          <w:sz w:val="28"/>
        </w:rPr>
      </w:pPr>
    </w:p>
    <w:p>
      <w:pPr>
        <w:spacing w:line="360" w:lineRule="auto"/>
        <w:rPr>
          <w:rFonts w:hint="default" w:ascii="Times New Roman" w:hAnsi="Times New Roman" w:eastAsia="宋体" w:cs="Times New Roman"/>
          <w:color w:val="000000"/>
          <w:sz w:val="28"/>
        </w:rPr>
      </w:pPr>
    </w:p>
    <w:p>
      <w:pPr>
        <w:spacing w:line="360" w:lineRule="auto"/>
        <w:rPr>
          <w:rFonts w:hint="default" w:ascii="Times New Roman" w:hAnsi="Times New Roman" w:eastAsia="宋体" w:cs="Times New Roman"/>
          <w:color w:val="000000"/>
          <w:sz w:val="28"/>
        </w:rPr>
      </w:pPr>
    </w:p>
    <w:p>
      <w:pPr>
        <w:spacing w:line="360" w:lineRule="auto"/>
        <w:rPr>
          <w:rFonts w:hint="default" w:ascii="Times New Roman" w:hAnsi="Times New Roman" w:eastAsia="宋体" w:cs="Times New Roman"/>
          <w:color w:val="000000"/>
          <w:sz w:val="28"/>
        </w:rPr>
      </w:pPr>
    </w:p>
    <w:p>
      <w:pPr>
        <w:spacing w:line="360" w:lineRule="auto"/>
        <w:rPr>
          <w:rFonts w:hint="default" w:ascii="Times New Roman" w:hAnsi="Times New Roman" w:eastAsia="宋体" w:cs="Times New Roman"/>
          <w:color w:val="000000"/>
          <w:sz w:val="28"/>
        </w:rPr>
      </w:pPr>
    </w:p>
    <w:p>
      <w:pPr>
        <w:spacing w:line="360" w:lineRule="auto"/>
        <w:rPr>
          <w:rFonts w:hint="default" w:ascii="Times New Roman" w:hAnsi="Times New Roman" w:eastAsia="宋体" w:cs="Times New Roman"/>
          <w:color w:val="000000"/>
          <w:sz w:val="28"/>
        </w:rPr>
      </w:pPr>
    </w:p>
    <w:p>
      <w:pPr>
        <w:spacing w:line="360" w:lineRule="auto"/>
        <w:rPr>
          <w:rFonts w:hint="default" w:ascii="Times New Roman" w:hAnsi="Times New Roman" w:eastAsia="宋体" w:cs="Times New Roman"/>
          <w:color w:val="000000"/>
          <w:sz w:val="28"/>
        </w:rPr>
      </w:pPr>
    </w:p>
    <w:p>
      <w:pPr>
        <w:spacing w:line="360" w:lineRule="auto"/>
        <w:rPr>
          <w:rFonts w:hint="eastAsia" w:ascii="仿宋" w:hAnsi="仿宋" w:eastAsia="仿宋" w:cs="仿宋"/>
          <w:color w:val="000000"/>
          <w:sz w:val="21"/>
          <w:szCs w:val="21"/>
        </w:rPr>
        <w:sectPr>
          <w:footerReference r:id="rId3"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20" w:num="1"/>
          <w:docGrid w:linePitch="360" w:charSpace="0"/>
        </w:sectPr>
      </w:pPr>
      <w:r>
        <w:rPr>
          <w:rFonts w:hint="eastAsia" w:ascii="仿宋" w:hAnsi="仿宋" w:eastAsia="仿宋" w:cs="仿宋"/>
          <w:color w:val="000000"/>
          <w:sz w:val="28"/>
        </w:rPr>
        <w:t xml:space="preserve">建设单位 </w:t>
      </w:r>
      <w:r>
        <w:rPr>
          <w:rFonts w:hint="eastAsia" w:ascii="仿宋" w:hAnsi="仿宋" w:eastAsia="仿宋" w:cs="仿宋"/>
          <w:color w:val="000000"/>
          <w:sz w:val="28"/>
          <w:lang w:val="en-US" w:eastAsia="zh-CN"/>
        </w:rPr>
        <w:t xml:space="preserve">        </w:t>
      </w:r>
      <w:r>
        <w:rPr>
          <w:rFonts w:hint="eastAsia" w:ascii="仿宋" w:hAnsi="仿宋" w:eastAsia="仿宋" w:cs="仿宋"/>
          <w:color w:val="000000"/>
          <w:sz w:val="28"/>
        </w:rPr>
        <w:t>（盖章）        编制单位          （盖章）</w:t>
      </w:r>
    </w:p>
    <w:p>
      <w:pPr>
        <w:pStyle w:val="2"/>
        <w:tabs>
          <w:tab w:val="left" w:pos="788"/>
        </w:tabs>
        <w:spacing w:line="424" w:lineRule="exact"/>
        <w:ind w:left="0" w:right="274"/>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项目总体情况</w:t>
      </w:r>
    </w:p>
    <w:tbl>
      <w:tblPr>
        <w:tblStyle w:val="13"/>
        <w:tblW w:w="508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319"/>
        <w:gridCol w:w="1467"/>
        <w:gridCol w:w="528"/>
        <w:gridCol w:w="562"/>
        <w:gridCol w:w="594"/>
        <w:gridCol w:w="482"/>
        <w:gridCol w:w="413"/>
        <w:gridCol w:w="818"/>
        <w:gridCol w:w="410"/>
        <w:gridCol w:w="8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70" w:type="pct"/>
            <w:tcBorders>
              <w:bottom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建设项目名称</w:t>
            </w:r>
          </w:p>
        </w:tc>
        <w:tc>
          <w:tcPr>
            <w:tcW w:w="3629" w:type="pct"/>
            <w:gridSpan w:val="9"/>
            <w:tcBorders>
              <w:bottom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宁国市石口金属表面处理有限公司石口公司整体搬迁及扩建项目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1370" w:type="pct"/>
            <w:tcBorders>
              <w:top w:val="single" w:color="000000" w:sz="4" w:space="0"/>
              <w:bottom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w:t>
            </w:r>
          </w:p>
        </w:tc>
        <w:tc>
          <w:tcPr>
            <w:tcW w:w="3629" w:type="pct"/>
            <w:gridSpan w:val="9"/>
            <w:tcBorders>
              <w:top w:val="single" w:color="000000" w:sz="4" w:space="0"/>
              <w:bottom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宁国市石口金属表面处理有限公司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70" w:type="pct"/>
            <w:tcBorders>
              <w:top w:val="single" w:color="000000" w:sz="4" w:space="0"/>
              <w:bottom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法人代表</w:t>
            </w:r>
          </w:p>
        </w:tc>
        <w:tc>
          <w:tcPr>
            <w:tcW w:w="1179" w:type="pct"/>
            <w:gridSpan w:val="2"/>
            <w:tcBorders>
              <w:top w:val="single" w:color="000000" w:sz="4" w:space="0"/>
              <w:bottom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万桂芳</w:t>
            </w:r>
          </w:p>
        </w:tc>
        <w:tc>
          <w:tcPr>
            <w:tcW w:w="1212" w:type="pct"/>
            <w:gridSpan w:val="4"/>
            <w:tcBorders>
              <w:top w:val="single" w:color="000000" w:sz="4" w:space="0"/>
              <w:bottom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联系人</w:t>
            </w:r>
          </w:p>
        </w:tc>
        <w:tc>
          <w:tcPr>
            <w:tcW w:w="1236" w:type="pct"/>
            <w:gridSpan w:val="3"/>
            <w:tcBorders>
              <w:top w:val="single" w:color="000000" w:sz="4" w:space="0"/>
              <w:bottom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何祠龙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70" w:type="pct"/>
            <w:tcBorders>
              <w:top w:val="single" w:color="000000" w:sz="4" w:space="0"/>
              <w:bottom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通信地址</w:t>
            </w:r>
          </w:p>
        </w:tc>
        <w:tc>
          <w:tcPr>
            <w:tcW w:w="3629" w:type="pct"/>
            <w:gridSpan w:val="9"/>
            <w:tcBorders>
              <w:top w:val="single" w:color="000000" w:sz="4" w:space="0"/>
              <w:bottom w:val="single" w:color="000000" w:sz="4" w:space="0"/>
            </w:tcBorders>
            <w:vAlign w:val="center"/>
          </w:tcPr>
          <w:p>
            <w:pPr>
              <w:pStyle w:val="17"/>
              <w:keepNext w:val="0"/>
              <w:keepLines w:val="0"/>
              <w:pageBreakBefore w:val="0"/>
              <w:widowControl w:val="0"/>
              <w:tabs>
                <w:tab w:val="left" w:pos="3608"/>
              </w:tabs>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eastAsia="zh-CN"/>
              </w:rPr>
              <w:t>安徽省宁国市</w:t>
            </w:r>
            <w:r>
              <w:rPr>
                <w:rFonts w:hint="eastAsia" w:ascii="Times New Roman" w:hAnsi="Times New Roman" w:eastAsia="宋体" w:cs="Times New Roman"/>
                <w:sz w:val="24"/>
                <w:szCs w:val="24"/>
                <w:lang w:eastAsia="zh-CN"/>
              </w:rPr>
              <w:t>宁国经济技术开发区汪溪园区电镀中心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370" w:type="pct"/>
            <w:tcBorders>
              <w:top w:val="single" w:color="000000" w:sz="4" w:space="0"/>
              <w:bottom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联系电话</w:t>
            </w:r>
          </w:p>
        </w:tc>
        <w:tc>
          <w:tcPr>
            <w:tcW w:w="867" w:type="pct"/>
            <w:tcBorders>
              <w:top w:val="single" w:color="000000" w:sz="4" w:space="0"/>
              <w:bottom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15105632832</w:t>
            </w:r>
          </w:p>
        </w:tc>
        <w:tc>
          <w:tcPr>
            <w:tcW w:w="643" w:type="pct"/>
            <w:gridSpan w:val="2"/>
            <w:tcBorders>
              <w:top w:val="single" w:color="000000" w:sz="4" w:space="0"/>
              <w:bottom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传真</w:t>
            </w:r>
          </w:p>
        </w:tc>
        <w:tc>
          <w:tcPr>
            <w:tcW w:w="636" w:type="pct"/>
            <w:gridSpan w:val="2"/>
            <w:tcBorders>
              <w:top w:val="single" w:color="000000" w:sz="4" w:space="0"/>
              <w:bottom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t>
            </w:r>
          </w:p>
        </w:tc>
        <w:tc>
          <w:tcPr>
            <w:tcW w:w="727" w:type="pct"/>
            <w:gridSpan w:val="2"/>
            <w:tcBorders>
              <w:top w:val="single" w:color="000000" w:sz="4" w:space="0"/>
              <w:bottom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邮编</w:t>
            </w:r>
          </w:p>
        </w:tc>
        <w:tc>
          <w:tcPr>
            <w:tcW w:w="753" w:type="pct"/>
            <w:gridSpan w:val="2"/>
            <w:tcBorders>
              <w:top w:val="single" w:color="000000" w:sz="4" w:space="0"/>
              <w:bottom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242300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370" w:type="pct"/>
            <w:tcBorders>
              <w:top w:val="single" w:color="000000" w:sz="4" w:space="0"/>
              <w:bottom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建设地点</w:t>
            </w:r>
          </w:p>
        </w:tc>
        <w:tc>
          <w:tcPr>
            <w:tcW w:w="3629" w:type="pct"/>
            <w:gridSpan w:val="9"/>
            <w:tcBorders>
              <w:top w:val="single" w:color="000000" w:sz="4" w:space="0"/>
              <w:bottom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宁国经济技术开发区汪溪园区电镀中心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70" w:type="pct"/>
            <w:tcBorders>
              <w:top w:val="single" w:color="000000" w:sz="4" w:space="0"/>
              <w:bottom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项目性质</w:t>
            </w:r>
          </w:p>
        </w:tc>
        <w:tc>
          <w:tcPr>
            <w:tcW w:w="1511" w:type="pct"/>
            <w:gridSpan w:val="3"/>
            <w:tcBorders>
              <w:top w:val="single" w:color="000000" w:sz="4" w:space="0"/>
              <w:bottom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新建</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改扩建</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技改</w:t>
            </w:r>
            <w:r>
              <w:rPr>
                <w:rFonts w:hint="eastAsia" w:ascii="Times New Roman" w:hAnsi="Times New Roman" w:eastAsia="宋体" w:cs="Times New Roman"/>
                <w:sz w:val="24"/>
                <w:szCs w:val="24"/>
                <w:lang w:eastAsia="zh-CN"/>
              </w:rPr>
              <w:t>□</w:t>
            </w:r>
          </w:p>
        </w:tc>
        <w:tc>
          <w:tcPr>
            <w:tcW w:w="880" w:type="pct"/>
            <w:gridSpan w:val="3"/>
            <w:tcBorders>
              <w:top w:val="single" w:color="000000" w:sz="4" w:space="0"/>
              <w:bottom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行业类别</w:t>
            </w:r>
          </w:p>
        </w:tc>
        <w:tc>
          <w:tcPr>
            <w:tcW w:w="1236" w:type="pct"/>
            <w:gridSpan w:val="3"/>
            <w:tcBorders>
              <w:top w:val="single" w:color="000000" w:sz="4" w:space="0"/>
              <w:bottom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C3360</w:t>
            </w:r>
            <w:r>
              <w:rPr>
                <w:rFonts w:hint="default"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lang w:val="en-US" w:eastAsia="zh-CN"/>
              </w:rPr>
              <w:t>金属表面处理及热处理加工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370" w:type="pct"/>
            <w:tcBorders>
              <w:top w:val="single" w:color="000000" w:sz="4" w:space="0"/>
              <w:bottom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环境影响报告</w:t>
            </w:r>
            <w:r>
              <w:rPr>
                <w:rFonts w:hint="eastAsia" w:ascii="Times New Roman" w:hAnsi="Times New Roman" w:eastAsia="宋体" w:cs="Times New Roman"/>
                <w:sz w:val="24"/>
                <w:szCs w:val="24"/>
                <w:lang w:eastAsia="zh-CN"/>
              </w:rPr>
              <w:t>文件</w:t>
            </w:r>
            <w:r>
              <w:rPr>
                <w:rFonts w:hint="default" w:ascii="Times New Roman" w:hAnsi="Times New Roman" w:eastAsia="宋体" w:cs="Times New Roman"/>
                <w:sz w:val="24"/>
                <w:szCs w:val="24"/>
              </w:rPr>
              <w:t>名称</w:t>
            </w:r>
          </w:p>
        </w:tc>
        <w:tc>
          <w:tcPr>
            <w:tcW w:w="3629" w:type="pct"/>
            <w:gridSpan w:val="9"/>
            <w:tcBorders>
              <w:top w:val="single" w:color="000000" w:sz="4" w:space="0"/>
              <w:bottom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宁国市石口金属表面处理有限公司整体搬迁及扩建</w:t>
            </w:r>
            <w:r>
              <w:rPr>
                <w:rFonts w:hint="default" w:ascii="Times New Roman" w:hAnsi="Times New Roman" w:eastAsia="宋体" w:cs="Times New Roman"/>
                <w:sz w:val="24"/>
                <w:szCs w:val="24"/>
                <w:lang w:eastAsia="zh-CN"/>
              </w:rPr>
              <w:t>项目环境影响报告</w:t>
            </w:r>
            <w:r>
              <w:rPr>
                <w:rFonts w:hint="eastAsia" w:ascii="Times New Roman" w:hAnsi="Times New Roman" w:eastAsia="宋体" w:cs="Times New Roman"/>
                <w:sz w:val="24"/>
                <w:szCs w:val="24"/>
                <w:lang w:eastAsia="zh-CN"/>
              </w:rPr>
              <w:t>书</w:t>
            </w:r>
          </w:p>
          <w:p>
            <w:pPr>
              <w:pStyle w:val="1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宁国市石口金属表面处理有限公司危险废物变动情况补充报告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1370" w:type="pct"/>
            <w:tcBorders>
              <w:top w:val="single" w:color="000000" w:sz="4" w:space="0"/>
              <w:bottom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环境影响评价单位</w:t>
            </w:r>
          </w:p>
        </w:tc>
        <w:tc>
          <w:tcPr>
            <w:tcW w:w="3629" w:type="pct"/>
            <w:gridSpan w:val="9"/>
            <w:tcBorders>
              <w:top w:val="single" w:color="000000" w:sz="4" w:space="0"/>
              <w:bottom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江苏苏辰勘察设计院</w:t>
            </w:r>
            <w:r>
              <w:rPr>
                <w:rFonts w:hint="default" w:ascii="Times New Roman" w:hAnsi="Times New Roman" w:eastAsia="宋体" w:cs="Times New Roman"/>
                <w:sz w:val="24"/>
                <w:szCs w:val="24"/>
                <w:lang w:eastAsia="zh-CN"/>
              </w:rPr>
              <w:t>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370" w:type="pct"/>
            <w:tcBorders>
              <w:top w:val="single" w:color="000000" w:sz="4" w:space="0"/>
              <w:bottom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环境影响评价审批部门</w:t>
            </w:r>
          </w:p>
        </w:tc>
        <w:tc>
          <w:tcPr>
            <w:tcW w:w="867" w:type="pct"/>
            <w:tcBorders>
              <w:top w:val="single" w:color="000000" w:sz="4" w:space="0"/>
              <w:bottom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宣城市生态环境局</w:t>
            </w:r>
          </w:p>
        </w:tc>
        <w:tc>
          <w:tcPr>
            <w:tcW w:w="643" w:type="pct"/>
            <w:gridSpan w:val="2"/>
            <w:tcBorders>
              <w:top w:val="single" w:color="000000" w:sz="4" w:space="0"/>
              <w:bottom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文号</w:t>
            </w:r>
          </w:p>
        </w:tc>
        <w:tc>
          <w:tcPr>
            <w:tcW w:w="636" w:type="pct"/>
            <w:gridSpan w:val="2"/>
            <w:tcBorders>
              <w:top w:val="single" w:color="000000" w:sz="4" w:space="0"/>
              <w:bottom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宣环评</w:t>
            </w:r>
            <w:r>
              <w:rPr>
                <w:rFonts w:hint="default" w:ascii="Times New Roman" w:hAnsi="Times New Roman" w:eastAsia="宋体" w:cs="Times New Roman"/>
                <w:sz w:val="24"/>
                <w:szCs w:val="24"/>
                <w:lang w:val="en-US" w:eastAsia="zh-CN"/>
              </w:rPr>
              <w:t>[201</w:t>
            </w:r>
            <w:r>
              <w:rPr>
                <w:rFonts w:hint="eastAsia"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lang w:val="en-US" w:eastAsia="zh-CN"/>
              </w:rPr>
              <w:t>22</w:t>
            </w:r>
            <w:r>
              <w:rPr>
                <w:rFonts w:hint="default" w:ascii="Times New Roman" w:hAnsi="Times New Roman" w:eastAsia="宋体" w:cs="Times New Roman"/>
                <w:sz w:val="24"/>
                <w:szCs w:val="24"/>
                <w:lang w:val="en-US" w:eastAsia="zh-CN"/>
              </w:rPr>
              <w:t>号</w:t>
            </w:r>
          </w:p>
        </w:tc>
        <w:tc>
          <w:tcPr>
            <w:tcW w:w="727" w:type="pct"/>
            <w:gridSpan w:val="2"/>
            <w:tcBorders>
              <w:top w:val="single" w:color="000000" w:sz="4" w:space="0"/>
              <w:bottom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时间</w:t>
            </w:r>
          </w:p>
        </w:tc>
        <w:tc>
          <w:tcPr>
            <w:tcW w:w="753" w:type="pct"/>
            <w:gridSpan w:val="2"/>
            <w:tcBorders>
              <w:top w:val="single" w:color="000000" w:sz="4" w:space="0"/>
              <w:bottom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201</w:t>
            </w:r>
            <w:r>
              <w:rPr>
                <w:rFonts w:hint="eastAsia"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lang w:val="en-US" w:eastAsia="zh-CN"/>
              </w:rPr>
              <w:t>月</w:t>
            </w:r>
            <w:r>
              <w:rPr>
                <w:rFonts w:hint="eastAsia" w:ascii="Times New Roman" w:hAnsi="Times New Roman" w:eastAsia="宋体" w:cs="Times New Roman"/>
                <w:sz w:val="24"/>
                <w:szCs w:val="24"/>
                <w:lang w:val="en-US" w:eastAsia="zh-CN"/>
              </w:rPr>
              <w:t>19</w:t>
            </w:r>
            <w:r>
              <w:rPr>
                <w:rFonts w:hint="default" w:ascii="Times New Roman" w:hAnsi="Times New Roman" w:eastAsia="宋体" w:cs="Times New Roman"/>
                <w:sz w:val="24"/>
                <w:szCs w:val="24"/>
                <w:lang w:val="en-US" w:eastAsia="zh-CN"/>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70" w:type="pct"/>
            <w:tcBorders>
              <w:top w:val="single" w:color="000000" w:sz="4" w:space="0"/>
              <w:bottom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环境保护设施设计单位</w:t>
            </w:r>
          </w:p>
        </w:tc>
        <w:tc>
          <w:tcPr>
            <w:tcW w:w="3629" w:type="pct"/>
            <w:gridSpan w:val="9"/>
            <w:tcBorders>
              <w:top w:val="single" w:color="000000" w:sz="4" w:space="0"/>
              <w:bottom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宁国市石口金属表面处理有限公司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70" w:type="pct"/>
            <w:tcBorders>
              <w:top w:val="single" w:color="000000" w:sz="4" w:space="0"/>
              <w:bottom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环境保护设施施工单位</w:t>
            </w:r>
          </w:p>
        </w:tc>
        <w:tc>
          <w:tcPr>
            <w:tcW w:w="3629" w:type="pct"/>
            <w:gridSpan w:val="9"/>
            <w:tcBorders>
              <w:top w:val="single" w:color="000000" w:sz="4" w:space="0"/>
              <w:bottom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宁国市石口金属表面处理有限公司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70" w:type="pct"/>
            <w:tcBorders>
              <w:top w:val="single" w:color="000000" w:sz="4" w:space="0"/>
              <w:bottom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投资总概算</w:t>
            </w:r>
          </w:p>
          <w:p>
            <w:pPr>
              <w:pStyle w:val="1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(万元)</w:t>
            </w:r>
          </w:p>
        </w:tc>
        <w:tc>
          <w:tcPr>
            <w:tcW w:w="867" w:type="pct"/>
            <w:tcBorders>
              <w:top w:val="single" w:color="000000" w:sz="4" w:space="0"/>
              <w:bottom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1300</w:t>
            </w:r>
          </w:p>
        </w:tc>
        <w:tc>
          <w:tcPr>
            <w:tcW w:w="995" w:type="pct"/>
            <w:gridSpan w:val="3"/>
            <w:tcBorders>
              <w:top w:val="single" w:color="000000" w:sz="4" w:space="0"/>
              <w:bottom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right="3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其中：环境保护</w:t>
            </w:r>
          </w:p>
          <w:p>
            <w:pPr>
              <w:pStyle w:val="17"/>
              <w:keepNext w:val="0"/>
              <w:keepLines w:val="0"/>
              <w:pageBreakBefore w:val="0"/>
              <w:widowControl w:val="0"/>
              <w:kinsoku/>
              <w:wordWrap/>
              <w:overflowPunct/>
              <w:topLinePunct w:val="0"/>
              <w:autoSpaceDE/>
              <w:autoSpaceDN/>
              <w:bidi w:val="0"/>
              <w:adjustRightInd/>
              <w:snapToGrid/>
              <w:spacing w:line="240" w:lineRule="auto"/>
              <w:ind w:left="0" w:right="3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投资(万元)</w:t>
            </w:r>
          </w:p>
        </w:tc>
        <w:tc>
          <w:tcPr>
            <w:tcW w:w="528" w:type="pct"/>
            <w:gridSpan w:val="2"/>
            <w:tcBorders>
              <w:top w:val="single" w:color="000000" w:sz="4" w:space="0"/>
              <w:bottom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270</w:t>
            </w:r>
          </w:p>
        </w:tc>
        <w:tc>
          <w:tcPr>
            <w:tcW w:w="725" w:type="pct"/>
            <w:gridSpan w:val="2"/>
            <w:vMerge w:val="restart"/>
            <w:tcBorders>
              <w:top w:val="single" w:color="000000" w:sz="4" w:space="0"/>
              <w:bottom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right="73"/>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环境保护投资占总投资比例</w:t>
            </w:r>
          </w:p>
        </w:tc>
        <w:tc>
          <w:tcPr>
            <w:tcW w:w="510" w:type="pct"/>
            <w:tcBorders>
              <w:top w:val="single" w:color="000000" w:sz="4" w:space="0"/>
              <w:bottom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20.8</w:t>
            </w:r>
            <w:r>
              <w:rPr>
                <w:rFonts w:hint="default" w:ascii="Times New Roman" w:hAnsi="Times New Roman" w:eastAsia="宋体" w:cs="Times New Roman"/>
                <w:sz w:val="24"/>
                <w:szCs w:val="24"/>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70" w:type="pct"/>
            <w:tcBorders>
              <w:top w:val="single" w:color="000000" w:sz="4" w:space="0"/>
              <w:bottom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实际总投资</w:t>
            </w:r>
          </w:p>
          <w:p>
            <w:pPr>
              <w:pStyle w:val="17"/>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(万元)</w:t>
            </w:r>
          </w:p>
        </w:tc>
        <w:tc>
          <w:tcPr>
            <w:tcW w:w="867" w:type="pct"/>
            <w:tcBorders>
              <w:top w:val="single" w:color="000000" w:sz="4" w:space="0"/>
              <w:bottom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1300</w:t>
            </w:r>
          </w:p>
        </w:tc>
        <w:tc>
          <w:tcPr>
            <w:tcW w:w="995" w:type="pct"/>
            <w:gridSpan w:val="3"/>
            <w:tcBorders>
              <w:top w:val="single" w:color="000000" w:sz="4" w:space="0"/>
              <w:bottom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right="3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其中：环境保护</w:t>
            </w:r>
          </w:p>
          <w:p>
            <w:pPr>
              <w:pStyle w:val="17"/>
              <w:keepNext w:val="0"/>
              <w:keepLines w:val="0"/>
              <w:pageBreakBefore w:val="0"/>
              <w:widowControl w:val="0"/>
              <w:kinsoku/>
              <w:wordWrap/>
              <w:overflowPunct/>
              <w:topLinePunct w:val="0"/>
              <w:autoSpaceDE/>
              <w:autoSpaceDN/>
              <w:bidi w:val="0"/>
              <w:adjustRightInd/>
              <w:snapToGrid/>
              <w:spacing w:line="240" w:lineRule="auto"/>
              <w:ind w:left="0" w:right="3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投资(万元)</w:t>
            </w:r>
          </w:p>
        </w:tc>
        <w:tc>
          <w:tcPr>
            <w:tcW w:w="528" w:type="pct"/>
            <w:gridSpan w:val="2"/>
            <w:tcBorders>
              <w:top w:val="single" w:color="000000" w:sz="4" w:space="0"/>
              <w:bottom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286</w:t>
            </w:r>
          </w:p>
        </w:tc>
        <w:tc>
          <w:tcPr>
            <w:tcW w:w="725" w:type="pct"/>
            <w:gridSpan w:val="2"/>
            <w:vMerge w:val="continue"/>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rPr>
            </w:pPr>
          </w:p>
        </w:tc>
        <w:tc>
          <w:tcPr>
            <w:tcW w:w="510" w:type="pct"/>
            <w:tcBorders>
              <w:top w:val="single" w:color="000000" w:sz="4" w:space="0"/>
              <w:bottom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22</w:t>
            </w:r>
            <w:r>
              <w:rPr>
                <w:rFonts w:hint="default" w:ascii="Times New Roman" w:hAnsi="Times New Roman" w:eastAsia="宋体" w:cs="Times New Roman"/>
                <w:sz w:val="24"/>
                <w:szCs w:val="24"/>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5" w:hRule="atLeast"/>
        </w:trPr>
        <w:tc>
          <w:tcPr>
            <w:tcW w:w="1370" w:type="pct"/>
            <w:tcBorders>
              <w:top w:val="single" w:color="000000" w:sz="4" w:space="0"/>
            </w:tcBorders>
            <w:vAlign w:val="center"/>
          </w:tcPr>
          <w:p>
            <w:pPr>
              <w:pStyle w:val="17"/>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验收依据</w:t>
            </w:r>
          </w:p>
        </w:tc>
        <w:tc>
          <w:tcPr>
            <w:tcW w:w="3629" w:type="pct"/>
            <w:gridSpan w:val="9"/>
            <w:tcBorders>
              <w:top w:val="single" w:color="000000"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cs="Times New Roman"/>
                <w:color w:val="auto"/>
                <w:sz w:val="24"/>
                <w:szCs w:val="24"/>
              </w:rPr>
              <w:t>《中华人民共和国环境保护法》，2014.4.24 修订，2015.1.1 施行；</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《中华人民共和国固体废物污染环境防治法》，</w:t>
            </w:r>
            <w:r>
              <w:rPr>
                <w:rFonts w:hint="default" w:ascii="Times New Roman" w:hAnsi="Times New Roman" w:eastAsia="宋体" w:cs="Times New Roman"/>
                <w:color w:val="auto"/>
                <w:sz w:val="24"/>
                <w:szCs w:val="24"/>
                <w:highlight w:val="none"/>
                <w:lang w:val="en-US" w:eastAsia="zh-CN"/>
              </w:rPr>
              <w:t>2020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29</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修订</w:t>
            </w:r>
            <w:r>
              <w:rPr>
                <w:rFonts w:hint="eastAsia" w:ascii="Times New Roman" w:hAnsi="Times New Roman" w:eastAsia="宋体" w:cs="Times New Roman"/>
                <w:color w:val="auto"/>
                <w:sz w:val="24"/>
                <w:szCs w:val="24"/>
                <w:highlight w:val="none"/>
                <w:lang w:val="en-US" w:eastAsia="zh-CN"/>
              </w:rPr>
              <w:t>，2020.9.1生效；</w:t>
            </w:r>
          </w:p>
          <w:p>
            <w:pPr>
              <w:keepNext w:val="0"/>
              <w:keepLines w:val="0"/>
              <w:pageBreakBefore w:val="0"/>
              <w:widowControl w:val="0"/>
              <w:kinsoku/>
              <w:wordWrap/>
              <w:overflowPunct/>
              <w:topLinePunct w:val="0"/>
              <w:autoSpaceDE/>
              <w:autoSpaceDN/>
              <w:bidi w:val="0"/>
              <w:spacing w:line="360" w:lineRule="auto"/>
              <w:ind w:firstLine="0"/>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《建设项目环境保护管理条例》，中华人民共和国国务院令第682号，2017.7.16修订，2017.10.1试行；</w:t>
            </w:r>
          </w:p>
          <w:p>
            <w:pPr>
              <w:keepNext w:val="0"/>
              <w:keepLines w:val="0"/>
              <w:pageBreakBefore w:val="0"/>
              <w:widowControl w:val="0"/>
              <w:kinsoku/>
              <w:wordWrap/>
              <w:overflowPunct/>
              <w:topLinePunct w:val="0"/>
              <w:autoSpaceDE/>
              <w:autoSpaceDN/>
              <w:bidi w:val="0"/>
              <w:spacing w:line="360" w:lineRule="auto"/>
              <w:ind w:firstLine="0"/>
              <w:textAlignment w:val="auto"/>
              <w:rPr>
                <w:rFonts w:hint="eastAsia" w:ascii="Times New Roman" w:hAnsi="Times New Roman" w:eastAsia="仿宋" w:cs="Times New Roman"/>
                <w:color w:val="auto"/>
                <w:sz w:val="24"/>
                <w:szCs w:val="24"/>
                <w:lang w:eastAsia="zh-CN"/>
              </w:rPr>
            </w:pP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《关于发布&lt;建设项目竣工环境保护验收暂行办法&gt;的公告》，中华人民共和国环境保护部，国环规环评[2017]4号，2017年11月20日发布并实施</w:t>
            </w:r>
            <w:r>
              <w:rPr>
                <w:rFonts w:hint="eastAsia" w:cs="Times New Roman"/>
                <w:color w:val="auto"/>
                <w:sz w:val="24"/>
                <w:szCs w:val="24"/>
                <w:lang w:eastAsia="zh-CN"/>
              </w:rPr>
              <w:t>；</w:t>
            </w:r>
          </w:p>
          <w:p>
            <w:pPr>
              <w:keepNext w:val="0"/>
              <w:keepLines w:val="0"/>
              <w:pageBreakBefore w:val="0"/>
              <w:widowControl w:val="0"/>
              <w:kinsoku/>
              <w:wordWrap/>
              <w:overflowPunct/>
              <w:topLinePunct w:val="0"/>
              <w:autoSpaceDE/>
              <w:autoSpaceDN/>
              <w:bidi w:val="0"/>
              <w:spacing w:line="360" w:lineRule="auto"/>
              <w:ind w:firstLine="0"/>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val="en-US" w:eastAsia="zh-CN"/>
              </w:rPr>
              <w:t>关于发布</w:t>
            </w:r>
            <w:r>
              <w:rPr>
                <w:rFonts w:hint="default" w:ascii="Times New Roman" w:hAnsi="Times New Roman" w:cs="Times New Roman"/>
                <w:color w:val="auto"/>
                <w:sz w:val="24"/>
                <w:szCs w:val="24"/>
              </w:rPr>
              <w:t>《建设项目竣工环境保护验收技术指南 污染影响类》</w:t>
            </w:r>
            <w:r>
              <w:rPr>
                <w:rFonts w:hint="default" w:ascii="Times New Roman" w:hAnsi="Times New Roman" w:cs="Times New Roman"/>
                <w:color w:val="auto"/>
                <w:sz w:val="24"/>
                <w:szCs w:val="24"/>
                <w:lang w:eastAsia="zh-CN"/>
              </w:rPr>
              <w:t>的公告，</w:t>
            </w:r>
            <w:r>
              <w:rPr>
                <w:rFonts w:hint="default" w:ascii="Times New Roman" w:hAnsi="Times New Roman" w:cs="Times New Roman"/>
                <w:color w:val="auto"/>
                <w:sz w:val="24"/>
                <w:szCs w:val="24"/>
              </w:rPr>
              <w:t>中华人民共和国</w:t>
            </w:r>
            <w:r>
              <w:rPr>
                <w:rFonts w:hint="default" w:ascii="Times New Roman" w:hAnsi="Times New Roman" w:cs="Times New Roman"/>
                <w:color w:val="auto"/>
                <w:sz w:val="24"/>
                <w:szCs w:val="24"/>
                <w:lang w:eastAsia="zh-CN"/>
              </w:rPr>
              <w:t>生态环境</w:t>
            </w:r>
            <w:r>
              <w:rPr>
                <w:rFonts w:hint="default" w:ascii="Times New Roman" w:hAnsi="Times New Roman" w:cs="Times New Roman"/>
                <w:color w:val="auto"/>
                <w:sz w:val="24"/>
                <w:szCs w:val="24"/>
              </w:rPr>
              <w:t>部，</w:t>
            </w:r>
            <w:r>
              <w:rPr>
                <w:rFonts w:hint="default" w:ascii="Times New Roman" w:hAnsi="Times New Roman" w:cs="Times New Roman"/>
                <w:color w:val="auto"/>
                <w:sz w:val="24"/>
                <w:szCs w:val="24"/>
                <w:lang w:eastAsia="zh-CN"/>
              </w:rPr>
              <w:t>公告</w:t>
            </w:r>
            <w:r>
              <w:rPr>
                <w:rFonts w:hint="default" w:ascii="Times New Roman" w:hAnsi="Times New Roman" w:cs="Times New Roman"/>
                <w:color w:val="auto"/>
                <w:sz w:val="24"/>
                <w:szCs w:val="24"/>
                <w:lang w:val="en-US" w:eastAsia="zh-CN"/>
              </w:rPr>
              <w:t>2018第9</w:t>
            </w:r>
            <w:r>
              <w:rPr>
                <w:rFonts w:hint="default" w:ascii="Times New Roman" w:hAnsi="Times New Roman" w:cs="Times New Roman"/>
                <w:color w:val="auto"/>
                <w:sz w:val="24"/>
                <w:szCs w:val="24"/>
              </w:rPr>
              <w:t>号，201</w:t>
            </w: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年</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月</w:t>
            </w:r>
            <w:r>
              <w:rPr>
                <w:rFonts w:hint="default" w:ascii="Times New Roman" w:hAnsi="Times New Roman" w:cs="Times New Roman"/>
                <w:color w:val="auto"/>
                <w:sz w:val="24"/>
                <w:szCs w:val="24"/>
                <w:lang w:val="en-US" w:eastAsia="zh-CN"/>
              </w:rPr>
              <w:t>16</w:t>
            </w:r>
            <w:r>
              <w:rPr>
                <w:rFonts w:hint="default" w:ascii="Times New Roman" w:hAnsi="Times New Roman" w:cs="Times New Roman"/>
                <w:color w:val="auto"/>
                <w:sz w:val="24"/>
                <w:szCs w:val="24"/>
              </w:rPr>
              <w:t>日</w:t>
            </w:r>
            <w:r>
              <w:rPr>
                <w:rFonts w:hint="default" w:ascii="Times New Roman" w:hAnsi="Times New Roman" w:cs="Times New Roman"/>
                <w:color w:val="auto"/>
                <w:sz w:val="24"/>
                <w:szCs w:val="24"/>
                <w:lang w:eastAsia="zh-CN"/>
              </w:rPr>
              <w:t>印发</w:t>
            </w:r>
            <w:r>
              <w:rPr>
                <w:rFonts w:hint="default" w:ascii="Times New Roman" w:hAnsi="Times New Roman" w:cs="Times New Roman"/>
                <w:color w:val="auto"/>
                <w:sz w:val="24"/>
                <w:szCs w:val="24"/>
              </w:rPr>
              <w:t>；</w:t>
            </w:r>
          </w:p>
          <w:p>
            <w:pPr>
              <w:keepNext w:val="0"/>
              <w:keepLines w:val="0"/>
              <w:pageBreakBefore w:val="0"/>
              <w:widowControl w:val="0"/>
              <w:kinsoku/>
              <w:wordWrap/>
              <w:overflowPunct/>
              <w:topLinePunct w:val="0"/>
              <w:autoSpaceDE/>
              <w:autoSpaceDN/>
              <w:bidi w:val="0"/>
              <w:spacing w:line="360" w:lineRule="auto"/>
              <w:ind w:firstLine="0"/>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宁国市</w:t>
            </w:r>
            <w:r>
              <w:rPr>
                <w:rFonts w:hint="eastAsia" w:ascii="Times New Roman" w:hAnsi="Times New Roman" w:cs="Times New Roman"/>
                <w:color w:val="auto"/>
                <w:sz w:val="24"/>
                <w:szCs w:val="24"/>
                <w:lang w:eastAsia="zh-CN"/>
              </w:rPr>
              <w:t>石口</w:t>
            </w:r>
            <w:r>
              <w:rPr>
                <w:rFonts w:hint="default" w:ascii="Times New Roman" w:hAnsi="Times New Roman" w:cs="Times New Roman"/>
                <w:color w:val="auto"/>
                <w:sz w:val="24"/>
                <w:szCs w:val="24"/>
              </w:rPr>
              <w:t>金属表面处理有限公司整体搬迁及扩建项目</w:t>
            </w:r>
            <w:r>
              <w:rPr>
                <w:rFonts w:hint="eastAsia" w:ascii="Times New Roman" w:hAnsi="Times New Roman" w:cs="Times New Roman"/>
                <w:color w:val="auto"/>
                <w:sz w:val="24"/>
                <w:szCs w:val="24"/>
                <w:lang w:eastAsia="zh-CN"/>
              </w:rPr>
              <w:t>固体废物</w:t>
            </w:r>
            <w:r>
              <w:rPr>
                <w:rFonts w:hint="default" w:ascii="Times New Roman" w:hAnsi="Times New Roman" w:cs="Times New Roman"/>
                <w:color w:val="auto"/>
                <w:sz w:val="24"/>
                <w:szCs w:val="24"/>
              </w:rPr>
              <w:t>验收的委托书；</w:t>
            </w:r>
          </w:p>
          <w:p>
            <w:pPr>
              <w:keepNext w:val="0"/>
              <w:keepLines w:val="0"/>
              <w:pageBreakBefore w:val="0"/>
              <w:widowControl w:val="0"/>
              <w:kinsoku/>
              <w:wordWrap/>
              <w:overflowPunct/>
              <w:topLinePunct w:val="0"/>
              <w:autoSpaceDE/>
              <w:autoSpaceDN/>
              <w:bidi w:val="0"/>
              <w:spacing w:line="360" w:lineRule="auto"/>
              <w:ind w:firstLine="0"/>
              <w:textAlignment w:val="auto"/>
              <w:rPr>
                <w:rFonts w:hint="eastAsia" w:ascii="Times New Roman" w:hAnsi="Times New Roman" w:eastAsia="宋体" w:cs="Times New Roman"/>
                <w:color w:val="auto"/>
                <w:sz w:val="24"/>
                <w:szCs w:val="24"/>
                <w:lang w:eastAsia="zh-CN"/>
              </w:rPr>
            </w:pPr>
            <w:r>
              <w:rPr>
                <w:rFonts w:hint="eastAsia" w:ascii="Times New Roman" w:hAnsi="Times New Roman" w:cs="Times New Roman"/>
                <w:sz w:val="24"/>
                <w:szCs w:val="24"/>
                <w:lang w:val="en-US" w:eastAsia="zh-CN"/>
              </w:rPr>
              <w:t>7、</w:t>
            </w:r>
            <w:r>
              <w:rPr>
                <w:rFonts w:hint="eastAsia" w:ascii="宋体" w:hAnsi="宋体" w:eastAsia="宋体" w:cs="宋体"/>
                <w:color w:val="auto"/>
                <w:sz w:val="24"/>
                <w:szCs w:val="24"/>
              </w:rPr>
              <w:t>江苏苏辰勘察设计院有限公司</w:t>
            </w:r>
            <w:r>
              <w:rPr>
                <w:rFonts w:hint="eastAsia" w:ascii="宋体" w:hAnsi="宋体" w:eastAsia="宋体" w:cs="宋体"/>
                <w:color w:val="auto"/>
                <w:sz w:val="24"/>
                <w:szCs w:val="24"/>
                <w:lang w:eastAsia="zh-CN"/>
              </w:rPr>
              <w:t>《</w:t>
            </w:r>
            <w:r>
              <w:rPr>
                <w:rFonts w:hint="eastAsia" w:ascii="Times New Roman" w:hAnsi="Times New Roman" w:cs="Times New Roman"/>
                <w:sz w:val="24"/>
                <w:szCs w:val="24"/>
                <w:lang w:eastAsia="zh-CN"/>
              </w:rPr>
              <w:t>宁国市石口金属表面处理有限公司石口公司整体搬迁及扩建项目环境影响报告书</w:t>
            </w:r>
            <w:r>
              <w:rPr>
                <w:rFonts w:hint="eastAsia" w:ascii="宋体" w:hAnsi="宋体" w:eastAsia="宋体" w:cs="宋体"/>
                <w:color w:val="auto"/>
                <w:sz w:val="24"/>
                <w:szCs w:val="24"/>
                <w:lang w:eastAsia="zh-CN"/>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2019.6</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color w:val="auto"/>
                <w:sz w:val="24"/>
                <w:szCs w:val="24"/>
                <w:lang w:val="en-US" w:eastAsia="zh-CN"/>
              </w:rPr>
              <w:t>8、安徽皖欣环境科技有限公司《</w:t>
            </w:r>
            <w:r>
              <w:rPr>
                <w:rFonts w:hint="eastAsia" w:ascii="Times New Roman" w:hAnsi="Times New Roman" w:cs="Times New Roman"/>
                <w:sz w:val="24"/>
                <w:szCs w:val="24"/>
                <w:lang w:eastAsia="zh-CN"/>
              </w:rPr>
              <w:t>宁国市石口金属表面处理有限公司危险废物变动情况补充报告</w:t>
            </w:r>
            <w:r>
              <w:rPr>
                <w:rFonts w:hint="eastAsia" w:ascii="Times New Roman" w:hAnsi="Times New Roman" w:eastAsia="宋体" w:cs="Times New Roman"/>
                <w:color w:val="auto"/>
                <w:sz w:val="24"/>
                <w:szCs w:val="24"/>
                <w:lang w:val="en-US" w:eastAsia="zh-CN"/>
              </w:rPr>
              <w:t>》（2021.4）。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1370" w:type="pct"/>
            <w:vAlign w:val="center"/>
          </w:tcPr>
          <w:p>
            <w:pPr>
              <w:pStyle w:val="17"/>
              <w:keepNext w:val="0"/>
              <w:keepLines w:val="0"/>
              <w:pageBreakBefore w:val="0"/>
              <w:widowControl w:val="0"/>
              <w:kinsoku/>
              <w:wordWrap/>
              <w:overflowPunct/>
              <w:topLinePunct w:val="0"/>
              <w:autoSpaceDE/>
              <w:autoSpaceDN/>
              <w:bidi w:val="0"/>
              <w:adjustRightInd/>
              <w:snapToGrid/>
              <w:spacing w:line="422" w:lineRule="exact"/>
              <w:ind w:lef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项目建设过程简述</w:t>
            </w:r>
          </w:p>
        </w:tc>
        <w:tc>
          <w:tcPr>
            <w:tcW w:w="3629" w:type="pct"/>
            <w:gridSpan w:val="9"/>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201</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月，建设单位委</w:t>
            </w:r>
            <w:r>
              <w:rPr>
                <w:rFonts w:hint="eastAsia" w:ascii="宋体" w:hAnsi="宋体" w:eastAsia="宋体" w:cs="宋体"/>
                <w:color w:val="auto"/>
                <w:sz w:val="24"/>
                <w:szCs w:val="24"/>
                <w:lang w:val="en-US" w:eastAsia="zh-CN"/>
              </w:rPr>
              <w:t>托</w:t>
            </w:r>
            <w:r>
              <w:rPr>
                <w:rFonts w:hint="eastAsia" w:ascii="宋体" w:hAnsi="宋体" w:eastAsia="宋体" w:cs="宋体"/>
                <w:color w:val="auto"/>
                <w:sz w:val="24"/>
                <w:szCs w:val="24"/>
              </w:rPr>
              <w:t>江苏苏辰勘察设计院有限公司</w:t>
            </w:r>
            <w:r>
              <w:rPr>
                <w:rFonts w:hint="eastAsia" w:ascii="宋体" w:hAnsi="宋体" w:eastAsia="宋体" w:cs="宋体"/>
                <w:color w:val="auto"/>
                <w:sz w:val="24"/>
                <w:szCs w:val="24"/>
                <w:lang w:val="en-US" w:eastAsia="zh-CN"/>
              </w:rPr>
              <w:t>承担本项目的环境影响评价工</w:t>
            </w:r>
            <w:r>
              <w:rPr>
                <w:rFonts w:hint="default" w:ascii="Times New Roman" w:hAnsi="Times New Roman" w:eastAsia="宋体" w:cs="Times New Roman"/>
                <w:color w:val="auto"/>
                <w:sz w:val="24"/>
                <w:szCs w:val="24"/>
                <w:lang w:val="en-US" w:eastAsia="zh-CN"/>
              </w:rPr>
              <w:t>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201</w:t>
            </w:r>
            <w:r>
              <w:rPr>
                <w:rFonts w:hint="eastAsia"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月</w:t>
            </w:r>
            <w:r>
              <w:rPr>
                <w:rFonts w:hint="eastAsia" w:ascii="Times New Roman" w:hAnsi="Times New Roman" w:eastAsia="宋体" w:cs="Times New Roman"/>
                <w:color w:val="auto"/>
                <w:sz w:val="24"/>
                <w:szCs w:val="24"/>
                <w:lang w:val="en-US" w:eastAsia="zh-CN"/>
              </w:rPr>
              <w:t>19</w:t>
            </w:r>
            <w:r>
              <w:rPr>
                <w:rFonts w:hint="default" w:ascii="Times New Roman" w:hAnsi="Times New Roman" w:eastAsia="宋体" w:cs="Times New Roman"/>
                <w:color w:val="auto"/>
                <w:sz w:val="24"/>
                <w:szCs w:val="24"/>
                <w:lang w:val="en-US" w:eastAsia="zh-CN"/>
              </w:rPr>
              <w:t>日，</w:t>
            </w:r>
            <w:r>
              <w:rPr>
                <w:rFonts w:hint="eastAsia" w:ascii="Times New Roman" w:hAnsi="Times New Roman" w:eastAsia="宋体" w:cs="Times New Roman"/>
                <w:color w:val="auto"/>
                <w:sz w:val="24"/>
                <w:szCs w:val="24"/>
                <w:lang w:val="en-US" w:eastAsia="zh-CN"/>
              </w:rPr>
              <w:t>宣城</w:t>
            </w:r>
            <w:r>
              <w:rPr>
                <w:rFonts w:hint="default" w:ascii="Times New Roman" w:hAnsi="Times New Roman" w:eastAsia="宋体" w:cs="Times New Roman"/>
                <w:color w:val="auto"/>
                <w:sz w:val="24"/>
                <w:szCs w:val="24"/>
                <w:lang w:val="en-US" w:eastAsia="zh-CN"/>
              </w:rPr>
              <w:t>市</w:t>
            </w:r>
            <w:r>
              <w:rPr>
                <w:rFonts w:hint="eastAsia" w:ascii="Times New Roman" w:hAnsi="Times New Roman" w:eastAsia="宋体" w:cs="Times New Roman"/>
                <w:color w:val="auto"/>
                <w:sz w:val="24"/>
                <w:szCs w:val="24"/>
                <w:lang w:val="en-US" w:eastAsia="zh-CN"/>
              </w:rPr>
              <w:t>生态环境</w:t>
            </w:r>
            <w:r>
              <w:rPr>
                <w:rFonts w:hint="default" w:ascii="Times New Roman" w:hAnsi="Times New Roman" w:eastAsia="宋体" w:cs="Times New Roman"/>
                <w:color w:val="auto"/>
                <w:sz w:val="24"/>
                <w:szCs w:val="24"/>
                <w:lang w:val="en-US" w:eastAsia="zh-CN"/>
              </w:rPr>
              <w:t>局批复（文号：</w:t>
            </w:r>
            <w:r>
              <w:rPr>
                <w:rFonts w:hint="eastAsia" w:ascii="Times New Roman" w:hAnsi="Times New Roman" w:eastAsia="宋体" w:cs="Times New Roman"/>
                <w:color w:val="auto"/>
                <w:sz w:val="24"/>
                <w:szCs w:val="24"/>
                <w:lang w:eastAsia="zh-CN"/>
              </w:rPr>
              <w:t>宣环评</w:t>
            </w:r>
            <w:r>
              <w:rPr>
                <w:rFonts w:hint="default" w:ascii="Times New Roman" w:hAnsi="Times New Roman" w:eastAsia="宋体" w:cs="Times New Roman"/>
                <w:color w:val="auto"/>
                <w:sz w:val="24"/>
                <w:szCs w:val="24"/>
                <w:lang w:val="en-US" w:eastAsia="zh-CN"/>
              </w:rPr>
              <w:t>[2019] 22号）同意此项目建设。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20</w:t>
            </w:r>
            <w:r>
              <w:rPr>
                <w:rFonts w:hint="default"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年</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月</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宁国市石口金属表面处理有限公司委托宁国市浚成环境检测有限公司</w:t>
            </w:r>
            <w:r>
              <w:rPr>
                <w:rFonts w:hint="default" w:ascii="Times New Roman" w:hAnsi="Times New Roman" w:cs="Times New Roman"/>
                <w:color w:val="auto"/>
                <w:sz w:val="24"/>
                <w:szCs w:val="24"/>
                <w:lang w:val="en-US" w:eastAsia="zh-CN"/>
              </w:rPr>
              <w:t>编写了《</w:t>
            </w:r>
            <w:r>
              <w:rPr>
                <w:rFonts w:hint="default" w:ascii="Times New Roman" w:hAnsi="Times New Roman" w:cs="Times New Roman"/>
                <w:color w:val="auto"/>
                <w:sz w:val="24"/>
                <w:szCs w:val="24"/>
              </w:rPr>
              <w:t>宁国市石口金属表面处理有限公司石口公司整体搬迁及扩建项目</w:t>
            </w:r>
            <w:r>
              <w:rPr>
                <w:rFonts w:hint="default" w:ascii="Times New Roman" w:hAnsi="Times New Roman" w:cs="Times New Roman"/>
                <w:color w:val="auto"/>
                <w:sz w:val="24"/>
                <w:szCs w:val="24"/>
                <w:lang w:eastAsia="zh-CN"/>
              </w:rPr>
              <w:t>竣工</w:t>
            </w:r>
            <w:r>
              <w:rPr>
                <w:rFonts w:hint="default" w:ascii="Times New Roman" w:hAnsi="Times New Roman" w:cs="Times New Roman"/>
                <w:sz w:val="24"/>
                <w:szCs w:val="24"/>
                <w:lang w:val="en-US" w:eastAsia="zh-CN"/>
              </w:rPr>
              <w:t>环境保护阶段性验收监测报告</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完成了</w:t>
            </w:r>
            <w:r>
              <w:rPr>
                <w:rFonts w:hint="default" w:ascii="Times New Roman" w:hAnsi="Times New Roman" w:cs="Times New Roman"/>
                <w:sz w:val="24"/>
                <w:szCs w:val="24"/>
                <w:lang w:val="en-US" w:eastAsia="zh-CN"/>
              </w:rPr>
              <w:t>3条生产线（2条挂镀锌线、1条滚镀锌线</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的验收</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color w:val="auto"/>
                <w:sz w:val="24"/>
                <w:szCs w:val="24"/>
                <w:lang w:val="en-US" w:eastAsia="zh-CN"/>
              </w:rPr>
              <w:t>2020</w:t>
            </w:r>
            <w:r>
              <w:rPr>
                <w:rFonts w:hint="default" w:ascii="Times New Roman" w:hAnsi="Times New Roman" w:eastAsia="宋体" w:cs="Times New Roman"/>
                <w:color w:val="auto"/>
                <w:sz w:val="24"/>
                <w:szCs w:val="24"/>
                <w:lang w:val="en-US" w:eastAsia="zh-CN"/>
              </w:rPr>
              <w:t>年11月，项目新建1条挂镀锌生产线建成并投入试生产，2020年11月29-30日，</w:t>
            </w:r>
            <w:r>
              <w:rPr>
                <w:rFonts w:hint="default" w:ascii="Times New Roman" w:hAnsi="Times New Roman" w:eastAsia="宋体" w:cs="Times New Roman"/>
                <w:color w:val="auto"/>
                <w:sz w:val="24"/>
                <w:szCs w:val="24"/>
              </w:rPr>
              <w:t>宁国市浚成环境检测有限公司</w:t>
            </w:r>
            <w:r>
              <w:rPr>
                <w:rFonts w:hint="default" w:ascii="Times New Roman" w:hAnsi="Times New Roman" w:eastAsia="宋体" w:cs="Times New Roman"/>
                <w:sz w:val="24"/>
                <w:szCs w:val="24"/>
                <w:lang w:val="en-US" w:eastAsia="zh-CN"/>
              </w:rPr>
              <w:t>组织检测机构对该项目开展现场检测工作，同时调查并核实项目环境保护工作落实情况，并编制完成《</w:t>
            </w:r>
            <w:r>
              <w:rPr>
                <w:rFonts w:hint="default" w:ascii="Times New Roman" w:hAnsi="Times New Roman" w:eastAsia="宋体" w:cs="Times New Roman"/>
                <w:color w:val="auto"/>
                <w:sz w:val="24"/>
                <w:szCs w:val="24"/>
              </w:rPr>
              <w:t>宁国市石口金属表面处理有限公司石口公司整体搬迁及扩建项目</w:t>
            </w:r>
            <w:r>
              <w:rPr>
                <w:rFonts w:hint="default" w:ascii="Times New Roman" w:hAnsi="Times New Roman" w:eastAsia="宋体" w:cs="Times New Roman"/>
                <w:sz w:val="24"/>
                <w:szCs w:val="24"/>
                <w:lang w:val="en-US" w:eastAsia="zh-CN"/>
              </w:rPr>
              <w:t>竣工环境保护验收监测报告》</w:t>
            </w:r>
            <w:r>
              <w:rPr>
                <w:rFonts w:hint="eastAsia" w:ascii="Times New Roman" w:hAnsi="Times New Roman" w:eastAsia="宋体" w:cs="Times New Roman"/>
                <w:sz w:val="24"/>
                <w:szCs w:val="24"/>
                <w:lang w:val="en-US" w:eastAsia="zh-CN"/>
              </w:rPr>
              <w:t>，对该项目4条生产线进行了总体验收</w:t>
            </w:r>
            <w:r>
              <w:rPr>
                <w:rFonts w:hint="default"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eastAsia="宋体" w:cs="Times New Roman"/>
                <w:sz w:val="24"/>
                <w:szCs w:val="24"/>
                <w:lang w:val="en-US" w:eastAsia="zh-CN"/>
              </w:rPr>
              <w:t>由于企业实际运行中危险废物的产生节点和产生量与原环评文本相比有出入，为了规范环境管理，理清危险废物产生情况，2021年3月，</w:t>
            </w:r>
            <w:r>
              <w:rPr>
                <w:rFonts w:hint="default" w:ascii="Times New Roman" w:hAnsi="Times New Roman" w:cs="Times New Roman"/>
                <w:color w:val="auto"/>
                <w:sz w:val="24"/>
                <w:szCs w:val="24"/>
              </w:rPr>
              <w:t>宁国市石口金属表面处理有限公司委托</w:t>
            </w:r>
            <w:r>
              <w:rPr>
                <w:rFonts w:hint="eastAsia" w:ascii="Times New Roman" w:hAnsi="Times New Roman" w:cs="Times New Roman"/>
                <w:color w:val="auto"/>
                <w:sz w:val="24"/>
                <w:szCs w:val="24"/>
                <w:lang w:eastAsia="zh-CN"/>
              </w:rPr>
              <w:t>安徽皖欣环境科技</w:t>
            </w:r>
            <w:r>
              <w:rPr>
                <w:rFonts w:hint="default" w:ascii="Times New Roman" w:hAnsi="Times New Roman" w:cs="Times New Roman"/>
                <w:color w:val="auto"/>
                <w:sz w:val="24"/>
                <w:szCs w:val="24"/>
              </w:rPr>
              <w:t>有限公司</w:t>
            </w:r>
            <w:r>
              <w:rPr>
                <w:rFonts w:hint="default" w:ascii="Times New Roman" w:hAnsi="Times New Roman" w:cs="Times New Roman"/>
                <w:color w:val="auto"/>
                <w:sz w:val="24"/>
                <w:szCs w:val="24"/>
                <w:lang w:val="en-US" w:eastAsia="zh-CN"/>
              </w:rPr>
              <w:t>编写</w:t>
            </w:r>
            <w:r>
              <w:rPr>
                <w:rFonts w:hint="eastAsia" w:ascii="Times New Roman" w:hAnsi="Times New Roman" w:cs="Times New Roman"/>
                <w:color w:val="auto"/>
                <w:sz w:val="24"/>
                <w:szCs w:val="24"/>
                <w:lang w:val="en-US" w:eastAsia="zh-CN"/>
              </w:rPr>
              <w:t>了《</w:t>
            </w:r>
            <w:r>
              <w:rPr>
                <w:rFonts w:hint="eastAsia" w:ascii="Times New Roman" w:hAnsi="Times New Roman" w:eastAsia="宋体" w:cs="Times New Roman"/>
                <w:sz w:val="24"/>
                <w:szCs w:val="24"/>
                <w:lang w:eastAsia="zh-CN"/>
              </w:rPr>
              <w:t>宁国市石口金属表面处理有限公司危险废物变动情况补充报告</w:t>
            </w:r>
            <w:r>
              <w:rPr>
                <w:rFonts w:hint="eastAsia" w:ascii="Times New Roman" w:hAnsi="Times New Roman"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2021年6月24日，宣城市宁国市生态环境分局《关于</w:t>
            </w:r>
            <w:r>
              <w:rPr>
                <w:rFonts w:hint="eastAsia" w:ascii="Times New Roman" w:hAnsi="Times New Roman" w:eastAsia="宋体" w:cs="Times New Roman"/>
                <w:sz w:val="24"/>
                <w:szCs w:val="24"/>
                <w:lang w:eastAsia="zh-CN"/>
              </w:rPr>
              <w:t>宁国市石口金属表面处理有限公司危险废物变动情况补充报告的回复</w:t>
            </w:r>
            <w:r>
              <w:rPr>
                <w:rFonts w:hint="eastAsia" w:ascii="Times New Roman" w:hAnsi="Times New Roman" w:cs="Times New Roman"/>
                <w:color w:val="auto"/>
                <w:sz w:val="24"/>
                <w:szCs w:val="24"/>
                <w:lang w:val="en-US" w:eastAsia="zh-CN"/>
              </w:rPr>
              <w:t>》要求落实环境管理并将《补充报告》内容纳入验收及排污许可管理。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2021年9月，</w:t>
            </w:r>
            <w:r>
              <w:rPr>
                <w:rFonts w:hint="default" w:ascii="Times New Roman" w:hAnsi="Times New Roman" w:cs="Times New Roman"/>
                <w:color w:val="auto"/>
                <w:sz w:val="24"/>
                <w:szCs w:val="24"/>
              </w:rPr>
              <w:t>宁国市石口金属表面处理有限公司委托</w:t>
            </w:r>
            <w:r>
              <w:rPr>
                <w:rFonts w:hint="default" w:ascii="Times New Roman" w:hAnsi="Times New Roman" w:eastAsia="宋体" w:cs="Times New Roman"/>
                <w:color w:val="auto"/>
                <w:sz w:val="24"/>
                <w:szCs w:val="24"/>
              </w:rPr>
              <w:t>宁国市浚成环境检测有限公司</w:t>
            </w:r>
            <w:r>
              <w:rPr>
                <w:rFonts w:hint="eastAsia" w:ascii="Times New Roman" w:hAnsi="Times New Roman" w:eastAsia="宋体" w:cs="Times New Roman"/>
                <w:color w:val="auto"/>
                <w:sz w:val="24"/>
                <w:szCs w:val="24"/>
                <w:lang w:eastAsia="zh-CN"/>
              </w:rPr>
              <w:t>对</w:t>
            </w:r>
            <w:r>
              <w:rPr>
                <w:rFonts w:hint="eastAsia" w:ascii="Times New Roman" w:hAnsi="Times New Roman" w:cs="Times New Roman"/>
                <w:color w:val="auto"/>
                <w:sz w:val="24"/>
                <w:szCs w:val="24"/>
                <w:lang w:val="en-US" w:eastAsia="zh-CN"/>
              </w:rPr>
              <w:t>《</w:t>
            </w:r>
            <w:r>
              <w:rPr>
                <w:rFonts w:hint="eastAsia" w:ascii="Times New Roman" w:hAnsi="Times New Roman" w:eastAsia="宋体" w:cs="Times New Roman"/>
                <w:sz w:val="24"/>
                <w:szCs w:val="24"/>
                <w:lang w:eastAsia="zh-CN"/>
              </w:rPr>
              <w:t>宁国市石口金属表面处理有限公司危险废物变动情况补充报告</w:t>
            </w:r>
            <w:r>
              <w:rPr>
                <w:rFonts w:hint="eastAsia" w:ascii="Times New Roman" w:hAnsi="Times New Roman" w:cs="Times New Roman"/>
                <w:color w:val="auto"/>
                <w:sz w:val="24"/>
                <w:szCs w:val="24"/>
                <w:lang w:val="en-US" w:eastAsia="zh-CN"/>
              </w:rPr>
              <w:t>》进行验收。</w:t>
            </w:r>
          </w:p>
        </w:tc>
      </w:tr>
    </w:tbl>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500" w:firstLineChars="500"/>
        <w:jc w:val="both"/>
        <w:textAlignment w:val="auto"/>
        <w:rPr>
          <w:rFonts w:hint="eastAsia" w:ascii="仿宋" w:hAnsi="仿宋" w:eastAsia="仿宋" w:cs="仿宋"/>
          <w:b w:val="0"/>
          <w:bCs w:val="0"/>
          <w:color w:val="000000"/>
          <w:kern w:val="0"/>
          <w:sz w:val="30"/>
          <w:szCs w:val="30"/>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
        <w:tabs>
          <w:tab w:val="left" w:pos="788"/>
        </w:tabs>
        <w:spacing w:line="415" w:lineRule="exact"/>
        <w:ind w:left="0" w:right="275"/>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调查范围、因子、</w:t>
      </w:r>
      <w:r>
        <w:rPr>
          <w:rFonts w:hint="eastAsia" w:ascii="Times New Roman" w:hAnsi="Times New Roman" w:eastAsia="宋体" w:cs="Times New Roman"/>
          <w:sz w:val="24"/>
          <w:szCs w:val="24"/>
          <w:lang w:eastAsia="zh-CN"/>
        </w:rPr>
        <w:t>环境敏感</w:t>
      </w:r>
      <w:r>
        <w:rPr>
          <w:rFonts w:hint="default" w:ascii="Times New Roman" w:hAnsi="Times New Roman" w:eastAsia="宋体" w:cs="Times New Roman"/>
          <w:sz w:val="24"/>
          <w:szCs w:val="24"/>
        </w:rPr>
        <w:t>目标、重点</w:t>
      </w:r>
    </w:p>
    <w:tbl>
      <w:tblPr>
        <w:tblStyle w:val="13"/>
        <w:tblW w:w="501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56"/>
        <w:gridCol w:w="75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0" w:hRule="atLeast"/>
        </w:trPr>
        <w:tc>
          <w:tcPr>
            <w:tcW w:w="454" w:type="pct"/>
            <w:vAlign w:val="center"/>
          </w:tcPr>
          <w:p>
            <w:pPr>
              <w:pStyle w:val="17"/>
              <w:keepNext w:val="0"/>
              <w:keepLines w:val="0"/>
              <w:pageBreakBefore w:val="0"/>
              <w:widowControl w:val="0"/>
              <w:kinsoku/>
              <w:wordWrap/>
              <w:overflowPunct/>
              <w:topLinePunct w:val="0"/>
              <w:autoSpaceDE/>
              <w:autoSpaceDN/>
              <w:bidi w:val="0"/>
              <w:adjustRightInd/>
              <w:snapToGrid/>
              <w:spacing w:line="216" w:lineRule="auto"/>
              <w:ind w:left="0" w:righ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调查范围</w:t>
            </w:r>
          </w:p>
        </w:tc>
        <w:tc>
          <w:tcPr>
            <w:tcW w:w="4545" w:type="pct"/>
            <w:vAlign w:val="center"/>
          </w:tcPr>
          <w:p>
            <w:pPr>
              <w:pStyle w:val="17"/>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一般固废：一般固废变动情况；</w:t>
            </w:r>
          </w:p>
          <w:p>
            <w:pPr>
              <w:pStyle w:val="17"/>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危险废物</w:t>
            </w:r>
            <w:r>
              <w:rPr>
                <w:rFonts w:hint="default"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危废变动情况</w:t>
            </w:r>
            <w:r>
              <w:rPr>
                <w:rFonts w:hint="default" w:ascii="Times New Roman" w:hAnsi="Times New Roman" w:eastAsia="宋体" w:cs="Times New Roman"/>
                <w:sz w:val="24"/>
                <w:szCs w:val="24"/>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9" w:hRule="atLeast"/>
        </w:trPr>
        <w:tc>
          <w:tcPr>
            <w:tcW w:w="454" w:type="pct"/>
            <w:vAlign w:val="center"/>
          </w:tcPr>
          <w:p>
            <w:pPr>
              <w:pStyle w:val="17"/>
              <w:keepNext w:val="0"/>
              <w:keepLines w:val="0"/>
              <w:pageBreakBefore w:val="0"/>
              <w:widowControl w:val="0"/>
              <w:kinsoku/>
              <w:wordWrap/>
              <w:overflowPunct/>
              <w:topLinePunct w:val="0"/>
              <w:autoSpaceDE/>
              <w:autoSpaceDN/>
              <w:bidi w:val="0"/>
              <w:adjustRightInd/>
              <w:snapToGrid/>
              <w:spacing w:line="216" w:lineRule="auto"/>
              <w:ind w:left="0" w:righ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调查因子</w:t>
            </w:r>
          </w:p>
        </w:tc>
        <w:tc>
          <w:tcPr>
            <w:tcW w:w="4545" w:type="pct"/>
            <w:vAlign w:val="center"/>
          </w:tcPr>
          <w:p>
            <w:pPr>
              <w:pStyle w:val="17"/>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一般固废：固废种类、产生量等；</w:t>
            </w:r>
          </w:p>
          <w:p>
            <w:pPr>
              <w:pStyle w:val="17"/>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危险废物</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危废种类、成分、形态、产废周期、产生量及处置方式、管理措施等</w:t>
            </w:r>
            <w:r>
              <w:rPr>
                <w:rFonts w:hint="default" w:ascii="Times New Roman" w:hAnsi="Times New Roman" w:eastAsia="宋体" w:cs="Times New Roman"/>
                <w:sz w:val="24"/>
                <w:szCs w:val="24"/>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2" w:hRule="atLeast"/>
        </w:trPr>
        <w:tc>
          <w:tcPr>
            <w:tcW w:w="454" w:type="pct"/>
            <w:vAlign w:val="center"/>
          </w:tcPr>
          <w:p>
            <w:pPr>
              <w:pStyle w:val="17"/>
              <w:keepNext w:val="0"/>
              <w:keepLines w:val="0"/>
              <w:pageBreakBefore w:val="0"/>
              <w:widowControl w:val="0"/>
              <w:kinsoku/>
              <w:wordWrap/>
              <w:overflowPunct/>
              <w:topLinePunct w:val="0"/>
              <w:autoSpaceDE/>
              <w:autoSpaceDN/>
              <w:bidi w:val="0"/>
              <w:adjustRightInd/>
              <w:snapToGrid/>
              <w:spacing w:line="216" w:lineRule="auto"/>
              <w:ind w:left="0" w:righ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调查重点</w:t>
            </w:r>
          </w:p>
        </w:tc>
        <w:tc>
          <w:tcPr>
            <w:tcW w:w="4545" w:type="pct"/>
            <w:vAlign w:val="center"/>
          </w:tcPr>
          <w:p>
            <w:pPr>
              <w:pStyle w:val="17"/>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本次调查的重点是项目运营期危险废物产生节点和产生量与原环评中变化情况，对</w:t>
            </w:r>
            <w:r>
              <w:rPr>
                <w:rFonts w:hint="eastAsia" w:ascii="Times New Roman" w:hAnsi="Times New Roman" w:cs="Times New Roman"/>
                <w:color w:val="auto"/>
                <w:sz w:val="24"/>
                <w:szCs w:val="24"/>
                <w:lang w:val="en-US" w:eastAsia="zh-CN"/>
              </w:rPr>
              <w:t>《</w:t>
            </w:r>
            <w:r>
              <w:rPr>
                <w:rFonts w:hint="eastAsia" w:ascii="Times New Roman" w:hAnsi="Times New Roman" w:eastAsia="宋体" w:cs="Times New Roman"/>
                <w:sz w:val="24"/>
                <w:szCs w:val="24"/>
                <w:lang w:eastAsia="zh-CN"/>
              </w:rPr>
              <w:t>宁国市石口金属表面处理有限公司危险废物变动情况补充报告</w:t>
            </w:r>
            <w:r>
              <w:rPr>
                <w:rFonts w:hint="eastAsia" w:ascii="Times New Roman" w:hAnsi="Times New Roman" w:cs="Times New Roman"/>
                <w:color w:val="auto"/>
                <w:sz w:val="24"/>
                <w:szCs w:val="24"/>
                <w:lang w:val="en-US" w:eastAsia="zh-CN"/>
              </w:rPr>
              <w:t>》</w:t>
            </w:r>
            <w:r>
              <w:rPr>
                <w:rFonts w:hint="eastAsia" w:ascii="Times New Roman" w:hAnsi="Times New Roman" w:eastAsia="宋体" w:cs="Times New Roman"/>
                <w:sz w:val="24"/>
                <w:szCs w:val="24"/>
                <w:lang w:eastAsia="zh-CN"/>
              </w:rPr>
              <w:t>中提出的固体废物处理落实情况及其有效性，根据调查结果规范环境管理，理清危险废物产生情况。</w:t>
            </w:r>
          </w:p>
          <w:p>
            <w:pPr>
              <w:pStyle w:val="17"/>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核查实际工作内容及方案设计变更情况；</w:t>
            </w:r>
          </w:p>
          <w:p>
            <w:pPr>
              <w:pStyle w:val="17"/>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实际工程内容及方案设计变更造成的环境影响变化情况；</w:t>
            </w:r>
          </w:p>
          <w:p>
            <w:pPr>
              <w:pStyle w:val="17"/>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环境影响评价文件及环境影响评价审批文件中提出的主要环节问题；</w:t>
            </w:r>
          </w:p>
          <w:p>
            <w:pPr>
              <w:pStyle w:val="17"/>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环境影响评价制度及其他环境保护规章制度执行情况；</w:t>
            </w:r>
          </w:p>
          <w:p>
            <w:pPr>
              <w:pStyle w:val="17"/>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验收环境影响评价文件对污染因子达标情况的预测结果；</w:t>
            </w:r>
          </w:p>
          <w:p>
            <w:pPr>
              <w:pStyle w:val="17"/>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工程环境保护投资情况。</w:t>
            </w:r>
          </w:p>
        </w:tc>
      </w:tr>
    </w:tbl>
    <w:p>
      <w:pPr>
        <w:jc w:val="center"/>
        <w:rPr>
          <w:rFonts w:hint="default" w:ascii="Times New Roman" w:hAnsi="Times New Roman" w:eastAsia="仿宋_GB2312" w:cs="Times New Roman"/>
          <w:b/>
          <w:bCs/>
          <w:color w:val="auto"/>
          <w:sz w:val="52"/>
          <w:szCs w:val="5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
        <w:tabs>
          <w:tab w:val="left" w:pos="788"/>
        </w:tabs>
        <w:spacing w:before="129" w:line="240" w:lineRule="auto"/>
        <w:ind w:left="0" w:right="274"/>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验收执行标准</w:t>
      </w:r>
    </w:p>
    <w:tbl>
      <w:tblPr>
        <w:tblStyle w:val="13"/>
        <w:tblW w:w="501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56"/>
        <w:gridCol w:w="75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4" w:hRule="atLeast"/>
        </w:trPr>
        <w:tc>
          <w:tcPr>
            <w:tcW w:w="453" w:type="pct"/>
            <w:vAlign w:val="center"/>
          </w:tcPr>
          <w:p>
            <w:pPr>
              <w:pStyle w:val="17"/>
              <w:keepNext w:val="0"/>
              <w:keepLines w:val="0"/>
              <w:pageBreakBefore w:val="0"/>
              <w:widowControl w:val="0"/>
              <w:kinsoku/>
              <w:wordWrap/>
              <w:overflowPunct/>
              <w:topLinePunct w:val="0"/>
              <w:autoSpaceDE/>
              <w:autoSpaceDN/>
              <w:bidi w:val="0"/>
              <w:adjustRightInd/>
              <w:snapToGrid/>
              <w:spacing w:line="216" w:lineRule="auto"/>
              <w:ind w:left="0" w:right="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污染物排放标准</w:t>
            </w:r>
          </w:p>
        </w:tc>
        <w:tc>
          <w:tcPr>
            <w:tcW w:w="4546" w:type="pc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本验收调查报告对《宁国市石口金属表面处理有限公司危险废物变动情况补充报告》进行验收。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b w:val="0"/>
                <w:bCs w:val="0"/>
                <w:sz w:val="24"/>
              </w:rPr>
              <w:t>固废处置标准</w:t>
            </w:r>
            <w:r>
              <w:rPr>
                <w:rFonts w:hint="eastAsia" w:ascii="Times New Roman" w:hAnsi="Times New Roman" w:eastAsia="宋体" w:cs="Times New Roman"/>
                <w:b w:val="0"/>
                <w:bCs w:val="0"/>
                <w:sz w:val="24"/>
                <w:lang w:eastAsia="zh-CN"/>
              </w:rPr>
              <w:t>：</w:t>
            </w:r>
            <w:r>
              <w:rPr>
                <w:rFonts w:hint="default" w:ascii="Times New Roman" w:hAnsi="Times New Roman" w:eastAsia="宋体" w:cs="Times New Roman"/>
                <w:sz w:val="24"/>
              </w:rPr>
              <w:t>一般固废处理处置执行《一般工业固体废物贮存和填埋污染控制标准》（GB18599-2020）的要求。危险固体废物须委托有相应资质的单位按照国家有关规定妥善处理处置，危险废物暂存设施需符合《危险废物贮存污染控制标准》（GB 18597-2001）及2013年修改单的要求。</w:t>
            </w:r>
          </w:p>
        </w:tc>
      </w:tr>
    </w:tbl>
    <w:p>
      <w:pPr>
        <w:jc w:val="center"/>
        <w:rPr>
          <w:rFonts w:hint="default" w:ascii="Times New Roman" w:hAnsi="Times New Roman" w:eastAsia="仿宋_GB2312" w:cs="Times New Roman"/>
          <w:b/>
          <w:bCs/>
          <w:color w:val="auto"/>
          <w:sz w:val="52"/>
          <w:szCs w:val="5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
        <w:tabs>
          <w:tab w:val="left" w:pos="788"/>
        </w:tabs>
        <w:spacing w:line="415" w:lineRule="exact"/>
        <w:ind w:right="274"/>
        <w:jc w:val="center"/>
        <w:rPr>
          <w:rFonts w:ascii="Times New Roman" w:hAnsi="Times New Roman" w:eastAsia="宋体" w:cs="Times New Roman"/>
          <w:sz w:val="24"/>
          <w:szCs w:val="24"/>
        </w:rPr>
      </w:pPr>
      <w:r>
        <w:rPr>
          <w:rFonts w:ascii="Times New Roman" w:hAnsi="Times New Roman" w:eastAsia="宋体" w:cs="Times New Roman"/>
          <w:sz w:val="24"/>
          <w:szCs w:val="24"/>
        </w:rPr>
        <w:t>工程概况</w:t>
      </w:r>
    </w:p>
    <w:tbl>
      <w:tblPr>
        <w:tblStyle w:val="13"/>
        <w:tblW w:w="500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936"/>
        <w:gridCol w:w="63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163" w:type="pct"/>
            <w:tcBorders>
              <w:bottom w:val="single" w:color="000000" w:sz="6" w:space="0"/>
              <w:right w:val="single" w:color="000000" w:sz="6" w:space="0"/>
            </w:tcBorders>
            <w:vAlign w:val="center"/>
          </w:tcPr>
          <w:p>
            <w:pPr>
              <w:pStyle w:val="17"/>
              <w:spacing w:before="79"/>
              <w:jc w:val="center"/>
              <w:rPr>
                <w:rFonts w:ascii="Times New Roman" w:hAnsi="Times New Roman" w:eastAsia="宋体" w:cs="Times New Roman"/>
                <w:sz w:val="24"/>
                <w:szCs w:val="24"/>
              </w:rPr>
            </w:pPr>
            <w:r>
              <w:rPr>
                <w:rFonts w:ascii="Times New Roman" w:hAnsi="Times New Roman" w:eastAsia="宋体" w:cs="Times New Roman"/>
                <w:sz w:val="24"/>
                <w:szCs w:val="24"/>
              </w:rPr>
              <w:t>项目名称</w:t>
            </w:r>
          </w:p>
        </w:tc>
        <w:tc>
          <w:tcPr>
            <w:tcW w:w="3836" w:type="pct"/>
            <w:tcBorders>
              <w:left w:val="single" w:color="000000" w:sz="6" w:space="0"/>
              <w:bottom w:val="single" w:color="000000" w:sz="6" w:space="0"/>
            </w:tcBorders>
            <w:vAlign w:val="center"/>
          </w:tcPr>
          <w:p>
            <w:pPr>
              <w:pStyle w:val="17"/>
              <w:jc w:val="center"/>
              <w:rPr>
                <w:rFonts w:ascii="Times New Roman" w:hAnsi="Times New Roman" w:eastAsia="宋体" w:cs="Times New Roman"/>
                <w:sz w:val="24"/>
                <w:szCs w:val="24"/>
              </w:rPr>
            </w:pPr>
            <w:r>
              <w:rPr>
                <w:rFonts w:hint="default" w:ascii="Times New Roman" w:hAnsi="Times New Roman" w:eastAsia="宋体" w:cs="Times New Roman"/>
                <w:sz w:val="24"/>
                <w:szCs w:val="24"/>
                <w:lang w:eastAsia="zh-CN"/>
              </w:rPr>
              <w:t>宁国市石口金属表面处理有限公司</w:t>
            </w:r>
            <w:r>
              <w:rPr>
                <w:rFonts w:hint="eastAsia" w:ascii="Times New Roman" w:hAnsi="Times New Roman" w:eastAsia="宋体" w:cs="Times New Roman"/>
                <w:sz w:val="24"/>
                <w:szCs w:val="24"/>
                <w:lang w:eastAsia="zh-CN"/>
              </w:rPr>
              <w:t>石口公司整体搬迁及扩建项目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1163" w:type="pct"/>
            <w:tcBorders>
              <w:top w:val="single" w:color="000000" w:sz="6" w:space="0"/>
              <w:bottom w:val="single" w:color="000000" w:sz="6" w:space="0"/>
              <w:right w:val="single" w:color="000000" w:sz="6" w:space="0"/>
            </w:tcBorders>
            <w:vAlign w:val="center"/>
          </w:tcPr>
          <w:p>
            <w:pPr>
              <w:pStyle w:val="17"/>
              <w:spacing w:line="303" w:lineRule="exact"/>
              <w:ind w:left="89" w:right="78"/>
              <w:jc w:val="center"/>
              <w:rPr>
                <w:rFonts w:ascii="Times New Roman" w:hAnsi="Times New Roman" w:eastAsia="宋体" w:cs="Times New Roman"/>
                <w:sz w:val="24"/>
                <w:szCs w:val="24"/>
              </w:rPr>
            </w:pPr>
            <w:r>
              <w:rPr>
                <w:rFonts w:ascii="Times New Roman" w:hAnsi="Times New Roman" w:eastAsia="宋体" w:cs="Times New Roman"/>
                <w:sz w:val="24"/>
                <w:szCs w:val="24"/>
              </w:rPr>
              <w:t>项目地理位置</w:t>
            </w:r>
          </w:p>
          <w:p>
            <w:pPr>
              <w:pStyle w:val="17"/>
              <w:spacing w:line="278" w:lineRule="exact"/>
              <w:ind w:left="89" w:right="78"/>
              <w:jc w:val="center"/>
              <w:rPr>
                <w:rFonts w:ascii="Times New Roman" w:hAnsi="Times New Roman" w:eastAsia="宋体" w:cs="Times New Roman"/>
                <w:sz w:val="24"/>
                <w:szCs w:val="24"/>
              </w:rPr>
            </w:pPr>
          </w:p>
        </w:tc>
        <w:tc>
          <w:tcPr>
            <w:tcW w:w="3836" w:type="pct"/>
            <w:tcBorders>
              <w:top w:val="single" w:color="000000" w:sz="6" w:space="0"/>
              <w:left w:val="single" w:color="000000" w:sz="6" w:space="0"/>
              <w:bottom w:val="single" w:color="000000" w:sz="6" w:space="0"/>
            </w:tcBorders>
          </w:tcPr>
          <w:p>
            <w:pPr>
              <w:pStyle w:val="17"/>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项目建设地点为宁国</w:t>
            </w:r>
            <w:r>
              <w:rPr>
                <w:rFonts w:hint="eastAsia" w:ascii="Times New Roman" w:hAnsi="Times New Roman" w:eastAsia="宋体" w:cs="Times New Roman"/>
                <w:sz w:val="24"/>
                <w:szCs w:val="24"/>
                <w:lang w:eastAsia="zh-CN"/>
              </w:rPr>
              <w:t>经济技术开发区汪溪园区电镀中心</w:t>
            </w:r>
            <w:r>
              <w:rPr>
                <w:rFonts w:hint="eastAsia" w:ascii="Times New Roman" w:hAnsi="Times New Roman" w:eastAsia="宋体" w:cs="Times New Roman"/>
                <w:sz w:val="24"/>
                <w:szCs w:val="24"/>
                <w:lang w:val="en-US" w:eastAsia="zh-CN"/>
              </w:rPr>
              <w:t>5#厂房，</w:t>
            </w:r>
            <w:r>
              <w:rPr>
                <w:rFonts w:hint="eastAsia" w:ascii="Times New Roman" w:hAnsi="Times New Roman" w:eastAsia="宋体" w:cs="Times New Roman"/>
                <w:sz w:val="24"/>
                <w:szCs w:val="24"/>
              </w:rPr>
              <w:t>经纬度为东经11</w:t>
            </w:r>
            <w:r>
              <w:rPr>
                <w:rFonts w:hint="eastAsia" w:ascii="Times New Roman" w:hAnsi="Times New Roman" w:eastAsia="宋体" w:cs="Times New Roman"/>
                <w:sz w:val="24"/>
                <w:szCs w:val="24"/>
                <w:lang w:val="en-US" w:eastAsia="zh-CN"/>
              </w:rPr>
              <w:t>8</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59</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57.96</w:t>
            </w:r>
            <w:r>
              <w:rPr>
                <w:rFonts w:hint="eastAsia" w:ascii="Times New Roman" w:hAnsi="Times New Roman" w:eastAsia="宋体" w:cs="Times New Roman"/>
                <w:sz w:val="24"/>
                <w:szCs w:val="24"/>
              </w:rPr>
              <w:t>″，北纬30°</w:t>
            </w:r>
            <w:r>
              <w:rPr>
                <w:rFonts w:hint="eastAsia" w:ascii="Times New Roman" w:hAnsi="Times New Roman" w:eastAsia="宋体" w:cs="Times New Roman"/>
                <w:sz w:val="24"/>
                <w:szCs w:val="24"/>
                <w:lang w:val="en-US" w:eastAsia="zh-CN"/>
              </w:rPr>
              <w:t>40</w:t>
            </w:r>
            <w:r>
              <w:rPr>
                <w:rFonts w:hint="eastAsia" w:ascii="Times New Roman" w:hAnsi="Times New Roman" w:eastAsia="宋体" w:cs="Times New Roman"/>
                <w:sz w:val="24"/>
                <w:szCs w:val="24"/>
              </w:rPr>
              <w:t>′5</w:t>
            </w:r>
            <w:r>
              <w:rPr>
                <w:rFonts w:hint="eastAsia" w:ascii="Times New Roman" w:hAnsi="Times New Roman" w:eastAsia="宋体" w:cs="Times New Roman"/>
                <w:sz w:val="24"/>
                <w:szCs w:val="24"/>
                <w:lang w:val="en-US" w:eastAsia="zh-CN"/>
              </w:rPr>
              <w:t>4.10</w:t>
            </w:r>
            <w:r>
              <w:rPr>
                <w:rFonts w:hint="eastAsia" w:ascii="Times New Roman" w:hAnsi="Times New Roman" w:eastAsia="宋体" w:cs="Times New Roman"/>
                <w:sz w:val="24"/>
                <w:szCs w:val="24"/>
              </w:rPr>
              <w:t>″。</w:t>
            </w:r>
          </w:p>
          <w:p>
            <w:pPr>
              <w:pStyle w:val="17"/>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114300" distR="114300">
                  <wp:extent cx="4025265" cy="1934845"/>
                  <wp:effectExtent l="0" t="0" r="13335" b="8255"/>
                  <wp:docPr id="1" name="图片 1" descr="C:\Users\Administrator.USER-20201122MB\Desktop\石口.png石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USER-20201122MB\Desktop\石口.png石口"/>
                          <pic:cNvPicPr>
                            <a:picLocks noChangeAspect="1"/>
                          </pic:cNvPicPr>
                        </pic:nvPicPr>
                        <pic:blipFill>
                          <a:blip r:embed="rId6"/>
                          <a:srcRect/>
                          <a:stretch>
                            <a:fillRect/>
                          </a:stretch>
                        </pic:blipFill>
                        <pic:spPr>
                          <a:xfrm>
                            <a:off x="0" y="0"/>
                            <a:ext cx="4025265" cy="1934845"/>
                          </a:xfrm>
                          <a:prstGeom prst="rect">
                            <a:avLst/>
                          </a:prstGeom>
                        </pic:spPr>
                      </pic:pic>
                    </a:graphicData>
                  </a:graphic>
                </wp:inline>
              </w:drawing>
            </w:r>
          </w:p>
          <w:p>
            <w:pPr>
              <w:pStyle w:val="17"/>
              <w:jc w:val="center"/>
              <w:rPr>
                <w:rFonts w:ascii="Times New Roman" w:hAnsi="Times New Roman" w:eastAsia="宋体" w:cs="Times New Roman"/>
                <w:b/>
                <w:bCs/>
                <w:sz w:val="24"/>
                <w:szCs w:val="24"/>
              </w:rPr>
            </w:pPr>
            <w:r>
              <w:rPr>
                <w:rFonts w:hint="eastAsia" w:ascii="Times New Roman" w:hAnsi="Times New Roman" w:eastAsia="宋体" w:cs="Times New Roman"/>
                <w:b/>
                <w:bCs/>
                <w:sz w:val="21"/>
                <w:szCs w:val="21"/>
              </w:rPr>
              <w:t>图3-1 地理位置图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5000" w:type="pct"/>
            <w:gridSpan w:val="2"/>
            <w:tcBorders>
              <w:top w:val="single" w:color="000000" w:sz="6" w:space="0"/>
            </w:tcBorders>
          </w:tcPr>
          <w:p>
            <w:pPr>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ascii="Times New Roman" w:hAnsi="Times New Roman" w:eastAsia="宋体" w:cs="Times New Roman"/>
                <w:sz w:val="24"/>
                <w:szCs w:val="24"/>
              </w:rPr>
              <w:t>主要</w:t>
            </w:r>
            <w:r>
              <w:rPr>
                <w:rFonts w:hint="default" w:ascii="Times New Roman" w:hAnsi="Times New Roman" w:eastAsia="宋体" w:cs="Times New Roman"/>
                <w:sz w:val="24"/>
                <w:szCs w:val="24"/>
              </w:rPr>
              <w:t>工程内容及规模：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本项目在宁国经济技术开发区电镀中心内租用</w:t>
            </w:r>
            <w:r>
              <w:rPr>
                <w:rFonts w:hint="default" w:ascii="Times New Roman" w:hAnsi="Times New Roman" w:cs="Times New Roman"/>
                <w:sz w:val="24"/>
                <w:szCs w:val="24"/>
                <w:lang w:val="en-US" w:eastAsia="zh-CN"/>
              </w:rPr>
              <w:t>5</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生产车间。建设单位</w:t>
            </w:r>
            <w:r>
              <w:rPr>
                <w:rFonts w:hint="default" w:ascii="Times New Roman" w:hAnsi="Times New Roman" w:cs="Times New Roman"/>
                <w:color w:val="auto"/>
                <w:spacing w:val="-3"/>
                <w:sz w:val="24"/>
                <w:szCs w:val="24"/>
              </w:rPr>
              <w:t>建设</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rPr>
              <w:t>条挂镀锌全自动一体化生产线</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1</w:t>
            </w:r>
            <w:r>
              <w:rPr>
                <w:rFonts w:hint="eastAsia" w:ascii="Times New Roman" w:hAnsi="Times New Roman" w:cs="Times New Roman"/>
                <w:sz w:val="24"/>
                <w:szCs w:val="24"/>
                <w:lang w:eastAsia="zh-CN"/>
              </w:rPr>
              <w:t>条滚</w:t>
            </w:r>
            <w:r>
              <w:rPr>
                <w:rFonts w:hint="default" w:ascii="Times New Roman" w:hAnsi="Times New Roman" w:cs="Times New Roman"/>
                <w:sz w:val="24"/>
                <w:szCs w:val="24"/>
              </w:rPr>
              <w:t>镀锌全自动一体化生产线，同时配套购置相关公辅工程设备。项目依托电镀中心相关配套基础设施，主要包括废水处理站、危化品配供中心、集中供热锅炉</w:t>
            </w:r>
            <w:r>
              <w:rPr>
                <w:rFonts w:hint="eastAsia" w:ascii="Times New Roman" w:hAnsi="Times New Roman" w:cs="Times New Roman"/>
                <w:sz w:val="24"/>
                <w:szCs w:val="24"/>
                <w:lang w:eastAsia="zh-CN"/>
              </w:rPr>
              <w:t>，</w:t>
            </w:r>
            <w:r>
              <w:rPr>
                <w:rFonts w:hint="default" w:ascii="Times New Roman" w:hAnsi="Times New Roman" w:cs="Times New Roman"/>
                <w:sz w:val="24"/>
                <w:szCs w:val="24"/>
              </w:rPr>
              <w:t>生活污水依托</w:t>
            </w:r>
            <w:r>
              <w:rPr>
                <w:rFonts w:hint="default" w:ascii="Times New Roman" w:hAnsi="Times New Roman" w:cs="Times New Roman"/>
                <w:sz w:val="24"/>
                <w:szCs w:val="24"/>
                <w:lang w:eastAsia="zh-CN"/>
              </w:rPr>
              <w:t>电镀中心</w:t>
            </w:r>
            <w:r>
              <w:rPr>
                <w:rFonts w:hint="default" w:ascii="Times New Roman" w:hAnsi="Times New Roman" w:cs="Times New Roman"/>
                <w:sz w:val="24"/>
                <w:szCs w:val="24"/>
              </w:rPr>
              <w:t>污水处理厂处理。</w:t>
            </w:r>
            <w:r>
              <w:rPr>
                <w:rFonts w:hint="eastAsia" w:ascii="Times New Roman" w:hAnsi="Times New Roman" w:cs="Times New Roman"/>
                <w:sz w:val="24"/>
                <w:szCs w:val="24"/>
                <w:lang w:eastAsia="zh-CN"/>
              </w:rPr>
              <w:t>本项目固体废物，环评与实际建设内容对照</w:t>
            </w:r>
            <w:r>
              <w:rPr>
                <w:rFonts w:hint="default" w:ascii="Times New Roman" w:hAnsi="Times New Roman" w:eastAsia="宋体" w:cs="Times New Roman"/>
                <w:sz w:val="24"/>
                <w:szCs w:val="24"/>
                <w:lang w:eastAsia="zh-CN"/>
              </w:rPr>
              <w:t>见下表</w:t>
            </w:r>
            <w:r>
              <w:rPr>
                <w:rFonts w:hint="default" w:ascii="Times New Roman" w:hAnsi="Times New Roman" w:cs="Times New Roman"/>
                <w:sz w:val="24"/>
                <w:szCs w:val="24"/>
              </w:rPr>
              <w:t>：</w:t>
            </w:r>
          </w:p>
          <w:p>
            <w:pPr>
              <w:ind w:left="0" w:leftChars="0" w:firstLine="0" w:firstLineChars="0"/>
              <w:jc w:val="center"/>
              <w:rPr>
                <w:rStyle w:val="18"/>
                <w:rFonts w:hint="eastAsia" w:ascii="Times New Roman" w:hAnsi="Times New Roman" w:eastAsia="宋体" w:cs="Times New Roman"/>
                <w:color w:val="auto"/>
                <w:lang w:eastAsia="zh-CN"/>
              </w:rPr>
            </w:pPr>
            <w:r>
              <w:rPr>
                <w:sz w:val="24"/>
              </w:rPr>
              <mc:AlternateContent>
                <mc:Choice Requires="wps">
                  <w:drawing>
                    <wp:anchor distT="0" distB="0" distL="114300" distR="114300" simplePos="0" relativeHeight="251660288" behindDoc="0" locked="0" layoutInCell="1" allowOverlap="1">
                      <wp:simplePos x="0" y="0"/>
                      <wp:positionH relativeFrom="column">
                        <wp:posOffset>1235710</wp:posOffset>
                      </wp:positionH>
                      <wp:positionV relativeFrom="paragraph">
                        <wp:posOffset>8001635</wp:posOffset>
                      </wp:positionV>
                      <wp:extent cx="3609975" cy="464185"/>
                      <wp:effectExtent l="0" t="0" r="9525" b="12065"/>
                      <wp:wrapNone/>
                      <wp:docPr id="4" name="文本框 4"/>
                      <wp:cNvGraphicFramePr/>
                      <a:graphic xmlns:a="http://schemas.openxmlformats.org/drawingml/2006/main">
                        <a:graphicData uri="http://schemas.microsoft.com/office/word/2010/wordprocessingShape">
                          <wps:wsp>
                            <wps:cNvSpPr txBox="1"/>
                            <wps:spPr>
                              <a:xfrm>
                                <a:off x="0" y="0"/>
                                <a:ext cx="3609975" cy="464185"/>
                              </a:xfrm>
                              <a:prstGeom prst="rect">
                                <a:avLst/>
                              </a:prstGeom>
                              <a:solidFill>
                                <a:srgbClr val="FFFFFF"/>
                              </a:solidFill>
                              <a:ln>
                                <a:noFill/>
                              </a:ln>
                            </wps:spPr>
                            <wps:txbx>
                              <w:txbxContent>
                                <w:p>
                                  <w:pPr>
                                    <w:rPr>
                                      <w:rFonts w:hint="default" w:eastAsia="仿宋"/>
                                      <w:lang w:val="en-US" w:eastAsia="zh-CN"/>
                                    </w:rPr>
                                  </w:pPr>
                                  <w:r>
                                    <w:rPr>
                                      <w:rFonts w:hint="eastAsia"/>
                                      <w:lang w:val="en-US" w:eastAsia="zh-CN"/>
                                    </w:rPr>
                                    <w:t>图3-4三楼平面布局图</w:t>
                                  </w:r>
                                </w:p>
                              </w:txbxContent>
                            </wps:txbx>
                            <wps:bodyPr upright="1"/>
                          </wps:wsp>
                        </a:graphicData>
                      </a:graphic>
                    </wp:anchor>
                  </w:drawing>
                </mc:Choice>
                <mc:Fallback>
                  <w:pict>
                    <v:shape id="_x0000_s1026" o:spid="_x0000_s1026" o:spt="202" type="#_x0000_t202" style="position:absolute;left:0pt;margin-left:97.3pt;margin-top:630.05pt;height:36.55pt;width:284.25pt;z-index:251660288;mso-width-relative:page;mso-height-relative:page;" fillcolor="#FFFFFF" filled="t" stroked="f" coordsize="21600,21600" o:gfxdata="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WBNb7ZAAAADQEAAA8AAAAAAAAAAQAgAAAAIgAAAGRycy9kb3ducmV2&#10;LnhtbFBLAQIUABQAAAAIAIdO4kDHON2VwgEAAHcDAAAOAAAAAAAAAAEAIAAAACgBAABkcnMvZTJv&#10;RG9jLnhtbFBLBQYAAAAABgAGAFkBAABcBQAAAAA=&#10;">
                      <v:fill on="t" focussize="0,0"/>
                      <v:stroke on="f"/>
                      <v:imagedata o:title=""/>
                      <o:lock v:ext="edit" aspectratio="f"/>
                      <v:textbox>
                        <w:txbxContent>
                          <w:p>
                            <w:pPr>
                              <w:rPr>
                                <w:rFonts w:hint="default" w:eastAsia="仿宋"/>
                                <w:lang w:val="en-US" w:eastAsia="zh-CN"/>
                              </w:rPr>
                            </w:pPr>
                            <w:r>
                              <w:rPr>
                                <w:rFonts w:hint="eastAsia"/>
                                <w:lang w:val="en-US" w:eastAsia="zh-CN"/>
                              </w:rPr>
                              <w:t>图3-4三楼平面布局图</w:t>
                            </w:r>
                          </w:p>
                        </w:txbxContent>
                      </v:textbox>
                    </v:shape>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3888105</wp:posOffset>
                      </wp:positionH>
                      <wp:positionV relativeFrom="paragraph">
                        <wp:posOffset>6659245</wp:posOffset>
                      </wp:positionV>
                      <wp:extent cx="76200" cy="191770"/>
                      <wp:effectExtent l="40640" t="13335" r="54610" b="23495"/>
                      <wp:wrapNone/>
                      <wp:docPr id="2" name="矩形 2"/>
                      <wp:cNvGraphicFramePr/>
                      <a:graphic xmlns:a="http://schemas.openxmlformats.org/drawingml/2006/main">
                        <a:graphicData uri="http://schemas.microsoft.com/office/word/2010/wordprocessingShape">
                          <wps:wsp>
                            <wps:cNvSpPr/>
                            <wps:spPr>
                              <a:xfrm rot="-1380000" flipH="1">
                                <a:off x="0" y="0"/>
                                <a:ext cx="76200" cy="191770"/>
                              </a:xfrm>
                              <a:prstGeom prst="rect">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flip:x;margin-left:306.15pt;margin-top:524.35pt;height:15.1pt;width:6pt;rotation:1507328f;z-index:251659264;mso-width-relative:page;mso-height-relative:page;" fillcolor="#FF0000" filled="t" stroked="t" coordsize="21600,21600" o:gfxdata="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ETc0Z2QAAAA0BAAAPAAAAAAAAAAEAIAAAACIA&#10;AABkcnMvZG93bnJldi54bWxQSwECFAAUAAAACACHTuJAfBWt2QgCAAA1BAAADgAAAAAAAAABACAA&#10;AAAoAQAAZHJzL2Uyb0RvYy54bWxQSwUGAAAAAAYABgBZAQAAogUAAAAA&#10;">
                      <v:fill on="t" focussize="0,0"/>
                      <v:stroke color="#FF0000" joinstyle="miter"/>
                      <v:imagedata o:title=""/>
                      <o:lock v:ext="edit" aspectratio="f"/>
                    </v:rect>
                  </w:pict>
                </mc:Fallback>
              </mc:AlternateContent>
            </w:r>
            <w:r>
              <w:rPr>
                <w:rStyle w:val="18"/>
                <w:rFonts w:hint="default" w:ascii="Times New Roman" w:hAnsi="Times New Roman" w:cs="Times New Roman"/>
                <w:color w:val="auto"/>
              </w:rPr>
              <w:t>表3-</w:t>
            </w:r>
            <w:r>
              <w:rPr>
                <w:rStyle w:val="18"/>
                <w:rFonts w:hint="eastAsia" w:eastAsia="宋体" w:cs="Times New Roman"/>
                <w:color w:val="auto"/>
                <w:lang w:val="en-US" w:eastAsia="zh-CN"/>
              </w:rPr>
              <w:t xml:space="preserve">1 </w:t>
            </w:r>
            <w:r>
              <w:rPr>
                <w:rStyle w:val="18"/>
                <w:rFonts w:hint="default" w:ascii="Times New Roman" w:hAnsi="Times New Roman" w:cs="Times New Roman"/>
                <w:color w:val="auto"/>
              </w:rPr>
              <w:t>项目</w:t>
            </w:r>
            <w:r>
              <w:rPr>
                <w:rStyle w:val="18"/>
                <w:rFonts w:hint="eastAsia" w:ascii="Times New Roman" w:hAnsi="Times New Roman" w:eastAsia="宋体" w:cs="Times New Roman"/>
                <w:color w:val="auto"/>
                <w:lang w:eastAsia="zh-CN"/>
              </w:rPr>
              <w:t>环评与实际</w:t>
            </w:r>
            <w:r>
              <w:rPr>
                <w:rStyle w:val="18"/>
                <w:rFonts w:hint="default" w:ascii="Times New Roman" w:hAnsi="Times New Roman" w:cs="Times New Roman"/>
                <w:color w:val="auto"/>
              </w:rPr>
              <w:t>建设内容</w:t>
            </w:r>
            <w:r>
              <w:rPr>
                <w:rStyle w:val="18"/>
                <w:rFonts w:hint="eastAsia" w:ascii="Times New Roman" w:hAnsi="Times New Roman" w:eastAsia="宋体" w:cs="Times New Roman"/>
                <w:color w:val="auto"/>
                <w:lang w:eastAsia="zh-CN"/>
              </w:rPr>
              <w:t>对照一览表</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26"/>
              <w:gridCol w:w="686"/>
              <w:gridCol w:w="2665"/>
              <w:gridCol w:w="3349"/>
              <w:gridCol w:w="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工程类别</w:t>
                  </w:r>
                </w:p>
              </w:tc>
              <w:tc>
                <w:tcPr>
                  <w:tcW w:w="37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工程名称</w:t>
                  </w:r>
                </w:p>
              </w:tc>
              <w:tc>
                <w:tcPr>
                  <w:tcW w:w="2018"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lang w:eastAsia="zh-CN"/>
                    </w:rPr>
                    <w:t>环评</w:t>
                  </w:r>
                  <w:r>
                    <w:rPr>
                      <w:rFonts w:hint="default" w:ascii="Times New Roman" w:hAnsi="Times New Roman" w:eastAsia="宋体" w:cs="Times New Roman"/>
                      <w:color w:val="000000"/>
                      <w:kern w:val="2"/>
                      <w:sz w:val="21"/>
                      <w:szCs w:val="21"/>
                    </w:rPr>
                    <w:t>建设内容</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lang w:eastAsia="zh-CN"/>
                    </w:rPr>
                    <w:t>实际</w:t>
                  </w:r>
                  <w:r>
                    <w:rPr>
                      <w:rFonts w:hint="default" w:ascii="Times New Roman" w:hAnsi="Times New Roman" w:eastAsia="宋体" w:cs="Times New Roman"/>
                      <w:color w:val="000000"/>
                      <w:kern w:val="2"/>
                      <w:sz w:val="21"/>
                      <w:szCs w:val="21"/>
                    </w:rPr>
                    <w:t>建设内容</w:t>
                  </w:r>
                </w:p>
              </w:tc>
              <w:tc>
                <w:tcPr>
                  <w:tcW w:w="3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主体工程</w:t>
                  </w:r>
                </w:p>
              </w:tc>
              <w:tc>
                <w:tcPr>
                  <w:tcW w:w="3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#生产车间</w:t>
                  </w:r>
                </w:p>
              </w:tc>
              <w:tc>
                <w:tcPr>
                  <w:tcW w:w="2018" w:type="pct"/>
                  <w:gridSpan w:val="2"/>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设置 </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 xml:space="preserve"> 条生产线；一层布置办公区、</w:t>
                  </w:r>
                  <w:r>
                    <w:rPr>
                      <w:rFonts w:hint="default" w:ascii="Times New Roman" w:hAnsi="Times New Roman" w:eastAsia="宋体" w:cs="Times New Roman"/>
                      <w:color w:val="auto"/>
                      <w:sz w:val="21"/>
                      <w:szCs w:val="21"/>
                      <w:lang w:eastAsia="zh-CN"/>
                    </w:rPr>
                    <w:t>原材料库、危废库和配电房</w:t>
                  </w:r>
                  <w:r>
                    <w:rPr>
                      <w:rFonts w:hint="default" w:ascii="Times New Roman" w:hAnsi="Times New Roman" w:eastAsia="宋体" w:cs="Times New Roman"/>
                      <w:color w:val="auto"/>
                      <w:sz w:val="21"/>
                      <w:szCs w:val="21"/>
                    </w:rPr>
                    <w:t>等；二层布置1 条</w:t>
                  </w:r>
                  <w:r>
                    <w:rPr>
                      <w:rFonts w:hint="default" w:ascii="Times New Roman" w:hAnsi="Times New Roman" w:eastAsia="宋体" w:cs="Times New Roman"/>
                      <w:color w:val="auto"/>
                      <w:sz w:val="21"/>
                      <w:szCs w:val="21"/>
                      <w:lang w:eastAsia="zh-CN"/>
                    </w:rPr>
                    <w:t>搬迁挂镀锌线</w:t>
                  </w:r>
                  <w:r>
                    <w:rPr>
                      <w:rFonts w:hint="default" w:ascii="Times New Roman" w:hAnsi="Times New Roman" w:eastAsia="宋体" w:cs="Times New Roman"/>
                      <w:color w:val="auto"/>
                      <w:sz w:val="21"/>
                      <w:szCs w:val="21"/>
                    </w:rPr>
                    <w:t>、1 条滚镀锌线</w:t>
                  </w:r>
                  <w:r>
                    <w:rPr>
                      <w:rFonts w:hint="default" w:ascii="Times New Roman" w:hAnsi="Times New Roman" w:eastAsia="宋体" w:cs="Times New Roman"/>
                      <w:color w:val="auto"/>
                      <w:sz w:val="21"/>
                      <w:szCs w:val="21"/>
                      <w:lang w:eastAsia="zh-CN"/>
                    </w:rPr>
                    <w:t>、化验室、办公室、污水管间</w:t>
                  </w:r>
                  <w:r>
                    <w:rPr>
                      <w:rFonts w:hint="default" w:ascii="Times New Roman" w:hAnsi="Times New Roman" w:eastAsia="宋体" w:cs="Times New Roman"/>
                      <w:color w:val="auto"/>
                      <w:sz w:val="21"/>
                      <w:szCs w:val="21"/>
                    </w:rPr>
                    <w:t xml:space="preserve">；三层设置 </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条</w:t>
                  </w:r>
                  <w:r>
                    <w:rPr>
                      <w:rFonts w:hint="default" w:ascii="Times New Roman" w:hAnsi="Times New Roman" w:eastAsia="宋体" w:cs="Times New Roman"/>
                      <w:color w:val="auto"/>
                      <w:sz w:val="21"/>
                      <w:szCs w:val="21"/>
                      <w:lang w:eastAsia="zh-CN"/>
                    </w:rPr>
                    <w:t>挂镀锌</w:t>
                  </w:r>
                  <w:r>
                    <w:rPr>
                      <w:rFonts w:hint="default" w:ascii="Times New Roman" w:hAnsi="Times New Roman" w:eastAsia="宋体" w:cs="Times New Roman"/>
                      <w:color w:val="auto"/>
                      <w:sz w:val="21"/>
                      <w:szCs w:val="21"/>
                    </w:rPr>
                    <w:t>线</w:t>
                  </w:r>
                  <w:r>
                    <w:rPr>
                      <w:rFonts w:hint="default" w:ascii="Times New Roman" w:hAnsi="Times New Roman" w:eastAsia="宋体" w:cs="Times New Roman"/>
                      <w:color w:val="auto"/>
                      <w:sz w:val="21"/>
                      <w:szCs w:val="21"/>
                      <w:lang w:eastAsia="zh-CN"/>
                    </w:rPr>
                    <w:t>、辅料间、办公室、污水管间</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建筑</w:t>
                  </w:r>
                  <w:r>
                    <w:rPr>
                      <w:rFonts w:hint="default" w:ascii="Times New Roman" w:hAnsi="Times New Roman" w:eastAsia="宋体" w:cs="Times New Roman"/>
                      <w:color w:val="auto"/>
                      <w:sz w:val="21"/>
                      <w:szCs w:val="21"/>
                    </w:rPr>
                    <w:t xml:space="preserve">面积 </w:t>
                  </w:r>
                  <w:r>
                    <w:rPr>
                      <w:rFonts w:hint="default" w:ascii="Times New Roman" w:hAnsi="Times New Roman" w:eastAsia="宋体" w:cs="Times New Roman"/>
                      <w:color w:val="auto"/>
                      <w:sz w:val="21"/>
                      <w:szCs w:val="21"/>
                      <w:lang w:val="en-US" w:eastAsia="zh-CN"/>
                    </w:rPr>
                    <w:t>432</w:t>
                  </w:r>
                  <w:r>
                    <w:rPr>
                      <w:rFonts w:hint="default" w:ascii="Times New Roman" w:hAnsi="Times New Roman" w:eastAsia="宋体" w:cs="Times New Roman"/>
                      <w:color w:val="auto"/>
                      <w:sz w:val="21"/>
                      <w:szCs w:val="21"/>
                    </w:rPr>
                    <w:t>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，3F，一层高5.9m，二层高6m，三层高6.5m</w:t>
                  </w:r>
                  <w:r>
                    <w:rPr>
                      <w:rFonts w:hint="default" w:ascii="Times New Roman" w:hAnsi="Times New Roman" w:eastAsia="宋体" w:cs="Times New Roman"/>
                      <w:color w:val="000000"/>
                      <w:kern w:val="2"/>
                      <w:sz w:val="21"/>
                      <w:szCs w:val="21"/>
                      <w:lang w:eastAsia="zh-CN"/>
                    </w:rPr>
                    <w:t>。</w:t>
                  </w:r>
                </w:p>
              </w:tc>
              <w:tc>
                <w:tcPr>
                  <w:tcW w:w="2017" w:type="pct"/>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auto"/>
                      <w:sz w:val="21"/>
                      <w:szCs w:val="21"/>
                    </w:rPr>
                    <w:t xml:space="preserve">设置 </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 xml:space="preserve"> 条生产线；一层布置办公区、</w:t>
                  </w:r>
                  <w:r>
                    <w:rPr>
                      <w:rFonts w:hint="default" w:ascii="Times New Roman" w:hAnsi="Times New Roman" w:eastAsia="宋体" w:cs="Times New Roman"/>
                      <w:color w:val="auto"/>
                      <w:sz w:val="21"/>
                      <w:szCs w:val="21"/>
                      <w:lang w:eastAsia="zh-CN"/>
                    </w:rPr>
                    <w:t>原材料库、危废库和配电房</w:t>
                  </w:r>
                  <w:r>
                    <w:rPr>
                      <w:rFonts w:hint="default" w:ascii="Times New Roman" w:hAnsi="Times New Roman" w:eastAsia="宋体" w:cs="Times New Roman"/>
                      <w:color w:val="auto"/>
                      <w:sz w:val="21"/>
                      <w:szCs w:val="21"/>
                    </w:rPr>
                    <w:t>等；二层布置1 条</w:t>
                  </w:r>
                  <w:r>
                    <w:rPr>
                      <w:rFonts w:hint="default" w:ascii="Times New Roman" w:hAnsi="Times New Roman" w:eastAsia="宋体" w:cs="Times New Roman"/>
                      <w:color w:val="auto"/>
                      <w:sz w:val="21"/>
                      <w:szCs w:val="21"/>
                      <w:lang w:eastAsia="zh-CN"/>
                    </w:rPr>
                    <w:t>搬迁挂镀锌线</w:t>
                  </w:r>
                  <w:r>
                    <w:rPr>
                      <w:rFonts w:hint="default" w:ascii="Times New Roman" w:hAnsi="Times New Roman" w:eastAsia="宋体" w:cs="Times New Roman"/>
                      <w:color w:val="auto"/>
                      <w:sz w:val="21"/>
                      <w:szCs w:val="21"/>
                    </w:rPr>
                    <w:t>、1 条滚镀锌线</w:t>
                  </w:r>
                  <w:r>
                    <w:rPr>
                      <w:rFonts w:hint="default" w:ascii="Times New Roman" w:hAnsi="Times New Roman" w:eastAsia="宋体" w:cs="Times New Roman"/>
                      <w:color w:val="auto"/>
                      <w:sz w:val="21"/>
                      <w:szCs w:val="21"/>
                      <w:lang w:eastAsia="zh-CN"/>
                    </w:rPr>
                    <w:t>、化验室、办公室、污水管间</w:t>
                  </w:r>
                  <w:r>
                    <w:rPr>
                      <w:rFonts w:hint="default" w:ascii="Times New Roman" w:hAnsi="Times New Roman" w:eastAsia="宋体" w:cs="Times New Roman"/>
                      <w:color w:val="auto"/>
                      <w:sz w:val="21"/>
                      <w:szCs w:val="21"/>
                    </w:rPr>
                    <w:t xml:space="preserve">；三层设置 </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条</w:t>
                  </w:r>
                  <w:r>
                    <w:rPr>
                      <w:rFonts w:hint="default" w:ascii="Times New Roman" w:hAnsi="Times New Roman" w:eastAsia="宋体" w:cs="Times New Roman"/>
                      <w:color w:val="auto"/>
                      <w:sz w:val="21"/>
                      <w:szCs w:val="21"/>
                      <w:lang w:eastAsia="zh-CN"/>
                    </w:rPr>
                    <w:t>挂镀锌</w:t>
                  </w:r>
                  <w:r>
                    <w:rPr>
                      <w:rFonts w:hint="default" w:ascii="Times New Roman" w:hAnsi="Times New Roman" w:eastAsia="宋体" w:cs="Times New Roman"/>
                      <w:color w:val="auto"/>
                      <w:sz w:val="21"/>
                      <w:szCs w:val="21"/>
                    </w:rPr>
                    <w:t>线</w:t>
                  </w:r>
                  <w:r>
                    <w:rPr>
                      <w:rFonts w:hint="default" w:ascii="Times New Roman" w:hAnsi="Times New Roman" w:eastAsia="宋体" w:cs="Times New Roman"/>
                      <w:color w:val="auto"/>
                      <w:sz w:val="21"/>
                      <w:szCs w:val="21"/>
                      <w:lang w:eastAsia="zh-CN"/>
                    </w:rPr>
                    <w:t>、辅料间、办公室、污水管间</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建筑</w:t>
                  </w:r>
                  <w:r>
                    <w:rPr>
                      <w:rFonts w:hint="default" w:ascii="Times New Roman" w:hAnsi="Times New Roman" w:eastAsia="宋体" w:cs="Times New Roman"/>
                      <w:color w:val="auto"/>
                      <w:sz w:val="21"/>
                      <w:szCs w:val="21"/>
                    </w:rPr>
                    <w:t xml:space="preserve">面积 </w:t>
                  </w:r>
                  <w:r>
                    <w:rPr>
                      <w:rFonts w:hint="default" w:ascii="Times New Roman" w:hAnsi="Times New Roman" w:eastAsia="宋体" w:cs="Times New Roman"/>
                      <w:color w:val="auto"/>
                      <w:sz w:val="21"/>
                      <w:szCs w:val="21"/>
                      <w:lang w:val="en-US" w:eastAsia="zh-CN"/>
                    </w:rPr>
                    <w:t>432</w:t>
                  </w:r>
                  <w:r>
                    <w:rPr>
                      <w:rFonts w:hint="default" w:ascii="Times New Roman" w:hAnsi="Times New Roman" w:eastAsia="宋体" w:cs="Times New Roman"/>
                      <w:color w:val="auto"/>
                      <w:sz w:val="21"/>
                      <w:szCs w:val="21"/>
                    </w:rPr>
                    <w:t>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，3F，一层高5.9m，二层高6m，三层高6.5m</w:t>
                  </w:r>
                  <w:r>
                    <w:rPr>
                      <w:rFonts w:hint="default" w:ascii="Times New Roman" w:hAnsi="Times New Roman" w:eastAsia="宋体" w:cs="Times New Roman"/>
                      <w:color w:val="000000"/>
                      <w:kern w:val="2"/>
                      <w:sz w:val="21"/>
                      <w:szCs w:val="21"/>
                      <w:lang w:eastAsia="zh-CN"/>
                    </w:rPr>
                    <w:t>。</w:t>
                  </w:r>
                </w:p>
              </w:tc>
              <w:tc>
                <w:tcPr>
                  <w:tcW w:w="33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辅助</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工程</w:t>
                  </w:r>
                </w:p>
              </w:tc>
              <w:tc>
                <w:tcPr>
                  <w:tcW w:w="3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办公间</w:t>
                  </w:r>
                </w:p>
              </w:tc>
              <w:tc>
                <w:tcPr>
                  <w:tcW w:w="2018"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生产车间内部布置办公区域，用于员工办公、会议、产品检测等。占地面积</w:t>
                  </w:r>
                  <w:r>
                    <w:rPr>
                      <w:rFonts w:hint="default" w:ascii="Times New Roman" w:hAnsi="Times New Roman" w:eastAsia="宋体" w:cs="Times New Roman"/>
                      <w:color w:val="auto"/>
                      <w:sz w:val="21"/>
                      <w:szCs w:val="21"/>
                      <w:lang w:val="en-US" w:eastAsia="zh-CN"/>
                    </w:rPr>
                    <w:t>25</w:t>
                  </w:r>
                  <w:r>
                    <w:rPr>
                      <w:rFonts w:hint="default" w:ascii="Times New Roman" w:hAnsi="Times New Roman" w:eastAsia="宋体" w:cs="Times New Roman"/>
                      <w:color w:val="auto"/>
                      <w:sz w:val="21"/>
                      <w:szCs w:val="21"/>
                    </w:rPr>
                    <w:t>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000000"/>
                      <w:kern w:val="2"/>
                      <w:sz w:val="21"/>
                      <w:szCs w:val="21"/>
                      <w:lang w:eastAsia="zh-CN"/>
                    </w:rPr>
                    <w:t>。</w:t>
                  </w:r>
                </w:p>
              </w:tc>
              <w:tc>
                <w:tcPr>
                  <w:tcW w:w="201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auto"/>
                      <w:sz w:val="21"/>
                      <w:szCs w:val="21"/>
                    </w:rPr>
                    <w:t>生产车间内部布置办公区域，用于员工办公、会议、产品检测等。占地面积</w:t>
                  </w:r>
                  <w:r>
                    <w:rPr>
                      <w:rFonts w:hint="default" w:ascii="Times New Roman" w:hAnsi="Times New Roman" w:eastAsia="宋体" w:cs="Times New Roman"/>
                      <w:color w:val="auto"/>
                      <w:sz w:val="21"/>
                      <w:szCs w:val="21"/>
                      <w:lang w:val="en-US" w:eastAsia="zh-CN"/>
                    </w:rPr>
                    <w:t>25</w:t>
                  </w:r>
                  <w:r>
                    <w:rPr>
                      <w:rFonts w:hint="default" w:ascii="Times New Roman" w:hAnsi="Times New Roman" w:eastAsia="宋体" w:cs="Times New Roman"/>
                      <w:color w:val="auto"/>
                      <w:sz w:val="21"/>
                      <w:szCs w:val="21"/>
                    </w:rPr>
                    <w:t>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000000"/>
                      <w:kern w:val="2"/>
                      <w:sz w:val="21"/>
                      <w:szCs w:val="21"/>
                      <w:lang w:eastAsia="zh-CN"/>
                    </w:rPr>
                    <w:t>。</w:t>
                  </w:r>
                </w:p>
              </w:tc>
              <w:tc>
                <w:tcPr>
                  <w:tcW w:w="33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rPr>
                    <w:t>公用</w:t>
                  </w:r>
                  <w:r>
                    <w:rPr>
                      <w:rFonts w:hint="default" w:ascii="Times New Roman" w:hAnsi="Times New Roman" w:eastAsia="宋体" w:cs="Times New Roman"/>
                      <w:color w:val="000000"/>
                      <w:kern w:val="2"/>
                      <w:sz w:val="21"/>
                      <w:szCs w:val="21"/>
                    </w:rPr>
                    <w:t>工程</w:t>
                  </w:r>
                </w:p>
              </w:tc>
              <w:tc>
                <w:tcPr>
                  <w:tcW w:w="3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供热</w:t>
                  </w:r>
                </w:p>
              </w:tc>
              <w:tc>
                <w:tcPr>
                  <w:tcW w:w="2018"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依托电镀中心天然气锅炉供热</w:t>
                  </w:r>
                  <w:r>
                    <w:rPr>
                      <w:rFonts w:hint="default" w:ascii="Times New Roman" w:hAnsi="Times New Roman" w:eastAsia="宋体" w:cs="Times New Roman"/>
                      <w:color w:val="000000"/>
                      <w:kern w:val="2"/>
                      <w:sz w:val="21"/>
                      <w:szCs w:val="21"/>
                      <w:lang w:eastAsia="zh-CN"/>
                    </w:rPr>
                    <w:t>。</w:t>
                  </w:r>
                </w:p>
              </w:tc>
              <w:tc>
                <w:tcPr>
                  <w:tcW w:w="201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rPr>
                    <w:t>依托电镀中心天然气锅炉供热</w:t>
                  </w:r>
                  <w:r>
                    <w:rPr>
                      <w:rFonts w:hint="default" w:ascii="Times New Roman" w:hAnsi="Times New Roman" w:eastAsia="宋体" w:cs="Times New Roman"/>
                      <w:color w:val="000000"/>
                      <w:kern w:val="2"/>
                      <w:sz w:val="21"/>
                      <w:szCs w:val="21"/>
                      <w:lang w:eastAsia="zh-CN"/>
                    </w:rPr>
                    <w:t>。</w:t>
                  </w:r>
                </w:p>
              </w:tc>
              <w:tc>
                <w:tcPr>
                  <w:tcW w:w="33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p>
              </w:tc>
              <w:tc>
                <w:tcPr>
                  <w:tcW w:w="3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供电</w:t>
                  </w:r>
                </w:p>
              </w:tc>
              <w:tc>
                <w:tcPr>
                  <w:tcW w:w="2018"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由电镀中心变电所10kV高压电缆接入车间变压器室</w:t>
                  </w:r>
                  <w:r>
                    <w:rPr>
                      <w:rFonts w:hint="default" w:ascii="Times New Roman" w:hAnsi="Times New Roman" w:eastAsia="宋体" w:cs="Times New Roman"/>
                      <w:color w:val="000000"/>
                      <w:kern w:val="2"/>
                      <w:sz w:val="21"/>
                      <w:szCs w:val="21"/>
                      <w:lang w:eastAsia="zh-CN"/>
                    </w:rPr>
                    <w:t>。</w:t>
                  </w:r>
                </w:p>
              </w:tc>
              <w:tc>
                <w:tcPr>
                  <w:tcW w:w="201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由电镀中心变电所10kV高压电缆接入车间变压器室</w:t>
                  </w:r>
                  <w:r>
                    <w:rPr>
                      <w:rFonts w:hint="default" w:ascii="Times New Roman" w:hAnsi="Times New Roman" w:eastAsia="宋体" w:cs="Times New Roman"/>
                      <w:color w:val="000000"/>
                      <w:kern w:val="2"/>
                      <w:sz w:val="21"/>
                      <w:szCs w:val="21"/>
                      <w:lang w:eastAsia="zh-CN"/>
                    </w:rPr>
                    <w:t>。</w:t>
                  </w:r>
                </w:p>
              </w:tc>
              <w:tc>
                <w:tcPr>
                  <w:tcW w:w="33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lang w:eastAsia="zh-CN"/>
                    </w:rPr>
                  </w:pPr>
                  <w:r>
                    <w:rPr>
                      <w:rFonts w:hint="eastAsia" w:ascii="Times New Roman" w:hAnsi="Times New Roman" w:eastAsia="宋体" w:cs="Times New Roman"/>
                      <w:color w:val="000000"/>
                      <w:kern w:val="2"/>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p>
              </w:tc>
              <w:tc>
                <w:tcPr>
                  <w:tcW w:w="3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供水</w:t>
                  </w:r>
                </w:p>
              </w:tc>
              <w:tc>
                <w:tcPr>
                  <w:tcW w:w="2018"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市政管网直接供水</w:t>
                  </w:r>
                  <w:r>
                    <w:rPr>
                      <w:rFonts w:hint="default" w:ascii="Times New Roman" w:hAnsi="Times New Roman" w:eastAsia="宋体" w:cs="Times New Roman"/>
                      <w:color w:val="000000"/>
                      <w:kern w:val="2"/>
                      <w:sz w:val="21"/>
                      <w:szCs w:val="21"/>
                      <w:lang w:eastAsia="zh-CN"/>
                    </w:rPr>
                    <w:t>。</w:t>
                  </w:r>
                </w:p>
              </w:tc>
              <w:tc>
                <w:tcPr>
                  <w:tcW w:w="201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市政管网直接供水</w:t>
                  </w:r>
                  <w:r>
                    <w:rPr>
                      <w:rFonts w:hint="default" w:ascii="Times New Roman" w:hAnsi="Times New Roman" w:eastAsia="宋体" w:cs="Times New Roman"/>
                      <w:color w:val="000000"/>
                      <w:kern w:val="2"/>
                      <w:sz w:val="21"/>
                      <w:szCs w:val="21"/>
                      <w:lang w:eastAsia="zh-CN"/>
                    </w:rPr>
                    <w:t>。</w:t>
                  </w:r>
                </w:p>
              </w:tc>
              <w:tc>
                <w:tcPr>
                  <w:tcW w:w="33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lang w:eastAsia="zh-CN"/>
                    </w:rPr>
                  </w:pPr>
                  <w:r>
                    <w:rPr>
                      <w:rFonts w:hint="eastAsia" w:ascii="Times New Roman" w:hAnsi="Times New Roman" w:eastAsia="宋体" w:cs="Times New Roman"/>
                      <w:color w:val="000000"/>
                      <w:kern w:val="2"/>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p>
              </w:tc>
              <w:tc>
                <w:tcPr>
                  <w:tcW w:w="3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rPr>
                    <w:t>纯水制备</w:t>
                  </w:r>
                </w:p>
              </w:tc>
              <w:tc>
                <w:tcPr>
                  <w:tcW w:w="2018"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车间共设置2台纯水设备</w:t>
                  </w:r>
                  <w:r>
                    <w:rPr>
                      <w:rFonts w:hint="default" w:ascii="Times New Roman" w:hAnsi="Times New Roman" w:eastAsia="宋体" w:cs="Times New Roman"/>
                      <w:color w:val="000000"/>
                      <w:kern w:val="2"/>
                      <w:sz w:val="21"/>
                      <w:szCs w:val="21"/>
                      <w:lang w:eastAsia="zh-CN"/>
                    </w:rPr>
                    <w:t>。</w:t>
                  </w:r>
                  <w:r>
                    <w:rPr>
                      <w:rFonts w:hint="default" w:ascii="Times New Roman" w:hAnsi="Times New Roman" w:eastAsia="宋体" w:cs="Times New Roman"/>
                      <w:color w:val="000000"/>
                      <w:kern w:val="2"/>
                      <w:sz w:val="21"/>
                      <w:szCs w:val="21"/>
                    </w:rPr>
                    <w:t>2台制水能力为1t/h</w:t>
                  </w:r>
                  <w:r>
                    <w:rPr>
                      <w:rFonts w:hint="default" w:ascii="Times New Roman" w:hAnsi="Times New Roman" w:eastAsia="宋体" w:cs="Times New Roman"/>
                      <w:color w:val="000000"/>
                      <w:kern w:val="2"/>
                      <w:sz w:val="21"/>
                      <w:szCs w:val="21"/>
                      <w:lang w:eastAsia="zh-CN"/>
                    </w:rPr>
                    <w:t>。</w:t>
                  </w:r>
                </w:p>
              </w:tc>
              <w:tc>
                <w:tcPr>
                  <w:tcW w:w="201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000000"/>
                      <w:kern w:val="2"/>
                      <w:sz w:val="21"/>
                      <w:szCs w:val="21"/>
                    </w:rPr>
                    <w:t>车间共设置2台纯水设备</w:t>
                  </w:r>
                  <w:r>
                    <w:rPr>
                      <w:rFonts w:hint="default" w:ascii="Times New Roman" w:hAnsi="Times New Roman" w:eastAsia="宋体" w:cs="Times New Roman"/>
                      <w:color w:val="000000"/>
                      <w:kern w:val="2"/>
                      <w:sz w:val="21"/>
                      <w:szCs w:val="21"/>
                      <w:lang w:eastAsia="zh-CN"/>
                    </w:rPr>
                    <w:t>。</w:t>
                  </w:r>
                  <w:r>
                    <w:rPr>
                      <w:rFonts w:hint="default" w:ascii="Times New Roman" w:hAnsi="Times New Roman" w:eastAsia="宋体" w:cs="Times New Roman"/>
                      <w:color w:val="000000"/>
                      <w:kern w:val="2"/>
                      <w:sz w:val="21"/>
                      <w:szCs w:val="21"/>
                    </w:rPr>
                    <w:t>2台制水能力为1t/h</w:t>
                  </w:r>
                  <w:r>
                    <w:rPr>
                      <w:rFonts w:hint="default" w:ascii="Times New Roman" w:hAnsi="Times New Roman" w:eastAsia="宋体" w:cs="Times New Roman"/>
                      <w:color w:val="000000"/>
                      <w:kern w:val="2"/>
                      <w:sz w:val="21"/>
                      <w:szCs w:val="21"/>
                      <w:lang w:eastAsia="zh-CN"/>
                    </w:rPr>
                    <w:t>。</w:t>
                  </w:r>
                </w:p>
              </w:tc>
              <w:tc>
                <w:tcPr>
                  <w:tcW w:w="33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25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rPr>
                    <w:t>储运</w:t>
                  </w:r>
                  <w:r>
                    <w:rPr>
                      <w:rFonts w:hint="default" w:ascii="Times New Roman" w:hAnsi="Times New Roman" w:eastAsia="宋体" w:cs="Times New Roman"/>
                      <w:color w:val="000000"/>
                      <w:kern w:val="2"/>
                      <w:sz w:val="21"/>
                      <w:szCs w:val="21"/>
                    </w:rPr>
                    <w:t>工程</w:t>
                  </w:r>
                </w:p>
              </w:tc>
              <w:tc>
                <w:tcPr>
                  <w:tcW w:w="377" w:type="pct"/>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auto"/>
                      <w:sz w:val="21"/>
                      <w:szCs w:val="21"/>
                    </w:rPr>
                    <w:t>原料堆区</w:t>
                  </w:r>
                </w:p>
              </w:tc>
              <w:tc>
                <w:tcPr>
                  <w:tcW w:w="2018" w:type="pct"/>
                  <w:gridSpan w:val="2"/>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待镀工件储存于一层内</w:t>
                  </w:r>
                  <w:r>
                    <w:rPr>
                      <w:rFonts w:hint="default" w:ascii="Times New Roman" w:hAnsi="Times New Roman" w:eastAsia="宋体" w:cs="Times New Roman"/>
                      <w:color w:val="000000"/>
                      <w:kern w:val="2"/>
                      <w:sz w:val="21"/>
                      <w:szCs w:val="21"/>
                      <w:lang w:eastAsia="zh-CN"/>
                    </w:rPr>
                    <w:t>。</w:t>
                  </w:r>
                </w:p>
              </w:tc>
              <w:tc>
                <w:tcPr>
                  <w:tcW w:w="2017" w:type="pct"/>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auto"/>
                      <w:sz w:val="21"/>
                      <w:szCs w:val="21"/>
                    </w:rPr>
                    <w:t>待镀工件储存于一层内</w:t>
                  </w:r>
                  <w:r>
                    <w:rPr>
                      <w:rFonts w:hint="default" w:ascii="Times New Roman" w:hAnsi="Times New Roman" w:eastAsia="宋体" w:cs="Times New Roman"/>
                      <w:color w:val="000000"/>
                      <w:kern w:val="2"/>
                      <w:sz w:val="21"/>
                      <w:szCs w:val="21"/>
                      <w:lang w:eastAsia="zh-CN"/>
                    </w:rPr>
                    <w:t>。</w:t>
                  </w:r>
                </w:p>
              </w:tc>
              <w:tc>
                <w:tcPr>
                  <w:tcW w:w="33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p>
              </w:tc>
              <w:tc>
                <w:tcPr>
                  <w:tcW w:w="377" w:type="pct"/>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成品放置</w:t>
                  </w:r>
                </w:p>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auto"/>
                      <w:sz w:val="21"/>
                      <w:szCs w:val="21"/>
                    </w:rPr>
                    <w:t>区</w:t>
                  </w:r>
                </w:p>
              </w:tc>
              <w:tc>
                <w:tcPr>
                  <w:tcW w:w="2018" w:type="pct"/>
                  <w:gridSpan w:val="2"/>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成品镀工件储存于生产车间一层内</w:t>
                  </w:r>
                  <w:r>
                    <w:rPr>
                      <w:rFonts w:hint="default" w:ascii="Times New Roman" w:hAnsi="Times New Roman" w:eastAsia="宋体" w:cs="Times New Roman"/>
                      <w:color w:val="000000"/>
                      <w:kern w:val="2"/>
                      <w:sz w:val="21"/>
                      <w:szCs w:val="21"/>
                      <w:lang w:eastAsia="zh-CN"/>
                    </w:rPr>
                    <w:t>。</w:t>
                  </w:r>
                </w:p>
              </w:tc>
              <w:tc>
                <w:tcPr>
                  <w:tcW w:w="2017" w:type="pct"/>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auto"/>
                      <w:sz w:val="21"/>
                      <w:szCs w:val="21"/>
                    </w:rPr>
                    <w:t>成品镀工件储存于生产车间一层内</w:t>
                  </w:r>
                  <w:r>
                    <w:rPr>
                      <w:rFonts w:hint="default" w:ascii="Times New Roman" w:hAnsi="Times New Roman" w:eastAsia="宋体" w:cs="Times New Roman"/>
                      <w:color w:val="000000"/>
                      <w:kern w:val="2"/>
                      <w:sz w:val="21"/>
                      <w:szCs w:val="21"/>
                      <w:lang w:eastAsia="zh-CN"/>
                    </w:rPr>
                    <w:t>。</w:t>
                  </w:r>
                </w:p>
              </w:tc>
              <w:tc>
                <w:tcPr>
                  <w:tcW w:w="33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lang w:eastAsia="zh-CN"/>
                    </w:rPr>
                  </w:pPr>
                  <w:r>
                    <w:rPr>
                      <w:rFonts w:hint="eastAsia" w:ascii="Times New Roman" w:hAnsi="Times New Roman" w:eastAsia="宋体" w:cs="Times New Roman"/>
                      <w:color w:val="000000"/>
                      <w:kern w:val="2"/>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p>
              </w:tc>
              <w:tc>
                <w:tcPr>
                  <w:tcW w:w="377" w:type="pct"/>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auto"/>
                      <w:sz w:val="21"/>
                      <w:szCs w:val="21"/>
                    </w:rPr>
                    <w:t>化学品储存</w:t>
                  </w:r>
                </w:p>
              </w:tc>
              <w:tc>
                <w:tcPr>
                  <w:tcW w:w="2018" w:type="pct"/>
                  <w:gridSpan w:val="2"/>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盐酸、硝酸依托电镀中心危化品供配中心储罐提供；车间内</w:t>
                  </w:r>
                  <w:r>
                    <w:rPr>
                      <w:rFonts w:hint="default" w:ascii="Times New Roman" w:hAnsi="Times New Roman" w:eastAsia="宋体" w:cs="Times New Roman"/>
                      <w:color w:val="auto"/>
                      <w:sz w:val="21"/>
                      <w:szCs w:val="21"/>
                      <w:lang w:eastAsia="zh-CN"/>
                    </w:rPr>
                    <w:t>不设置暂存</w:t>
                  </w:r>
                  <w:r>
                    <w:rPr>
                      <w:rFonts w:hint="default" w:ascii="Times New Roman" w:hAnsi="Times New Roman" w:eastAsia="宋体" w:cs="Times New Roman"/>
                      <w:color w:val="000000"/>
                      <w:kern w:val="2"/>
                      <w:sz w:val="21"/>
                      <w:szCs w:val="21"/>
                      <w:lang w:eastAsia="zh-CN"/>
                    </w:rPr>
                    <w:t>。</w:t>
                  </w:r>
                </w:p>
              </w:tc>
              <w:tc>
                <w:tcPr>
                  <w:tcW w:w="2017" w:type="pct"/>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auto"/>
                      <w:sz w:val="21"/>
                      <w:szCs w:val="21"/>
                    </w:rPr>
                    <w:t>盐酸、硝酸依托电镀中心危化品供配中心储罐提供；车间内</w:t>
                  </w:r>
                  <w:r>
                    <w:rPr>
                      <w:rFonts w:hint="default" w:ascii="Times New Roman" w:hAnsi="Times New Roman" w:eastAsia="宋体" w:cs="Times New Roman"/>
                      <w:color w:val="auto"/>
                      <w:sz w:val="21"/>
                      <w:szCs w:val="21"/>
                      <w:lang w:eastAsia="zh-CN"/>
                    </w:rPr>
                    <w:t>不设置暂存</w:t>
                  </w:r>
                  <w:r>
                    <w:rPr>
                      <w:rFonts w:hint="default" w:ascii="Times New Roman" w:hAnsi="Times New Roman" w:eastAsia="宋体" w:cs="Times New Roman"/>
                      <w:color w:val="000000"/>
                      <w:kern w:val="2"/>
                      <w:sz w:val="21"/>
                      <w:szCs w:val="21"/>
                      <w:lang w:eastAsia="zh-CN"/>
                    </w:rPr>
                    <w:t>。</w:t>
                  </w:r>
                </w:p>
              </w:tc>
              <w:tc>
                <w:tcPr>
                  <w:tcW w:w="33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p>
              </w:tc>
              <w:tc>
                <w:tcPr>
                  <w:tcW w:w="377" w:type="pct"/>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auto"/>
                      <w:sz w:val="21"/>
                      <w:szCs w:val="21"/>
                      <w:lang w:eastAsia="zh-CN"/>
                    </w:rPr>
                    <w:t>挂具间</w:t>
                  </w:r>
                </w:p>
              </w:tc>
              <w:tc>
                <w:tcPr>
                  <w:tcW w:w="2018" w:type="pct"/>
                  <w:gridSpan w:val="2"/>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一层设置一处</w:t>
                  </w:r>
                  <w:r>
                    <w:rPr>
                      <w:rFonts w:hint="default" w:ascii="Times New Roman" w:hAnsi="Times New Roman" w:eastAsia="宋体" w:cs="Times New Roman"/>
                      <w:color w:val="auto"/>
                      <w:sz w:val="21"/>
                      <w:szCs w:val="21"/>
                      <w:lang w:eastAsia="zh-CN"/>
                    </w:rPr>
                    <w:t>挂具间</w:t>
                  </w:r>
                  <w:r>
                    <w:rPr>
                      <w:rFonts w:hint="default" w:ascii="Times New Roman" w:hAnsi="Times New Roman" w:eastAsia="宋体" w:cs="Times New Roman"/>
                      <w:color w:val="000000"/>
                      <w:kern w:val="2"/>
                      <w:sz w:val="21"/>
                      <w:szCs w:val="21"/>
                      <w:lang w:eastAsia="zh-CN"/>
                    </w:rPr>
                    <w:t>。</w:t>
                  </w:r>
                </w:p>
              </w:tc>
              <w:tc>
                <w:tcPr>
                  <w:tcW w:w="2017" w:type="pct"/>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auto"/>
                      <w:sz w:val="21"/>
                      <w:szCs w:val="21"/>
                    </w:rPr>
                    <w:t>一层设置一处</w:t>
                  </w:r>
                  <w:r>
                    <w:rPr>
                      <w:rFonts w:hint="default" w:ascii="Times New Roman" w:hAnsi="Times New Roman" w:eastAsia="宋体" w:cs="Times New Roman"/>
                      <w:color w:val="auto"/>
                      <w:sz w:val="21"/>
                      <w:szCs w:val="21"/>
                      <w:lang w:eastAsia="zh-CN"/>
                    </w:rPr>
                    <w:t>挂具间</w:t>
                  </w:r>
                  <w:r>
                    <w:rPr>
                      <w:rFonts w:hint="default" w:ascii="Times New Roman" w:hAnsi="Times New Roman" w:eastAsia="宋体" w:cs="Times New Roman"/>
                      <w:color w:val="000000"/>
                      <w:kern w:val="2"/>
                      <w:sz w:val="21"/>
                      <w:szCs w:val="21"/>
                      <w:lang w:eastAsia="zh-CN"/>
                    </w:rPr>
                    <w:t>。</w:t>
                  </w:r>
                </w:p>
              </w:tc>
              <w:tc>
                <w:tcPr>
                  <w:tcW w:w="33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256" w:type="pct"/>
                  <w:vMerge w:val="restart"/>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环保工程</w:t>
                  </w:r>
                </w:p>
              </w:tc>
              <w:tc>
                <w:tcPr>
                  <w:tcW w:w="377" w:type="pct"/>
                  <w:vMerge w:val="restart"/>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固废处理措施</w:t>
                  </w:r>
                </w:p>
              </w:tc>
              <w:tc>
                <w:tcPr>
                  <w:tcW w:w="413" w:type="pct"/>
                  <w:tcBorders>
                    <w:top w:val="single" w:color="auto" w:sz="4" w:space="0"/>
                    <w:left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危险废物</w:t>
                  </w:r>
                </w:p>
              </w:tc>
              <w:tc>
                <w:tcPr>
                  <w:tcW w:w="1605" w:type="pct"/>
                  <w:tcBorders>
                    <w:top w:val="single" w:color="auto" w:sz="4" w:space="0"/>
                    <w:left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color w:val="auto"/>
                      <w:sz w:val="21"/>
                      <w:szCs w:val="21"/>
                      <w:lang w:eastAsia="zh-CN"/>
                    </w:rPr>
                    <w:t>主要</w:t>
                  </w:r>
                  <w:r>
                    <w:rPr>
                      <w:rFonts w:hint="eastAsia" w:ascii="宋体" w:hAnsi="宋体" w:eastAsia="宋体" w:cs="宋体"/>
                      <w:color w:val="auto"/>
                      <w:sz w:val="21"/>
                      <w:szCs w:val="21"/>
                    </w:rPr>
                    <w:t>依托电镀中心危险废物暂存中心，</w:t>
                  </w:r>
                  <w:r>
                    <w:rPr>
                      <w:rFonts w:hint="eastAsia" w:ascii="宋体" w:hAnsi="宋体" w:eastAsia="宋体" w:cs="宋体"/>
                      <w:color w:val="auto"/>
                      <w:sz w:val="21"/>
                      <w:szCs w:val="21"/>
                      <w:lang w:eastAsia="zh-CN"/>
                    </w:rPr>
                    <w:t>项目车间一层设置一处危险废物暂存间，</w:t>
                  </w:r>
                  <w:r>
                    <w:rPr>
                      <w:rFonts w:hint="eastAsia" w:ascii="宋体" w:hAnsi="宋体" w:eastAsia="宋体" w:cs="宋体"/>
                      <w:color w:val="auto"/>
                      <w:sz w:val="21"/>
                      <w:szCs w:val="21"/>
                    </w:rPr>
                    <w:t>危险废物交由电镀中心收集转运处置</w:t>
                  </w:r>
                  <w:r>
                    <w:rPr>
                      <w:rFonts w:hint="eastAsia" w:ascii="宋体" w:hAnsi="宋体" w:eastAsia="宋体" w:cs="宋体"/>
                      <w:color w:val="auto"/>
                      <w:sz w:val="21"/>
                      <w:szCs w:val="21"/>
                      <w:lang w:eastAsia="zh-CN"/>
                    </w:rPr>
                    <w:t>。</w:t>
                  </w:r>
                </w:p>
              </w:tc>
              <w:tc>
                <w:tcPr>
                  <w:tcW w:w="2017" w:type="pct"/>
                  <w:tcBorders>
                    <w:top w:val="single" w:color="auto" w:sz="4" w:space="0"/>
                    <w:left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auto"/>
                      <w:sz w:val="21"/>
                      <w:szCs w:val="21"/>
                      <w:lang w:eastAsia="zh-CN"/>
                    </w:rPr>
                    <w:t>项目车间一层设置一处</w:t>
                  </w:r>
                  <w:r>
                    <w:rPr>
                      <w:rFonts w:hint="eastAsia" w:ascii="Times New Roman" w:hAnsi="Times New Roman" w:cs="Times New Roman"/>
                      <w:color w:val="auto"/>
                      <w:sz w:val="21"/>
                      <w:szCs w:val="21"/>
                      <w:lang w:eastAsia="zh-CN"/>
                    </w:rPr>
                    <w:t>面积</w:t>
                  </w:r>
                  <w:r>
                    <w:rPr>
                      <w:rFonts w:hint="eastAsia" w:ascii="Times New Roman" w:hAnsi="Times New Roman" w:cs="Times New Roman"/>
                      <w:color w:val="auto"/>
                      <w:sz w:val="21"/>
                      <w:szCs w:val="21"/>
                      <w:lang w:val="en-US" w:eastAsia="zh-CN"/>
                    </w:rPr>
                    <w:t>15m</w:t>
                  </w:r>
                  <w:r>
                    <w:rPr>
                      <w:rFonts w:hint="eastAsia" w:ascii="Times New Roman" w:hAnsi="Times New Roman"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eastAsia="zh-CN"/>
                    </w:rPr>
                    <w:t>危险</w:t>
                  </w:r>
                  <w:r>
                    <w:rPr>
                      <w:rFonts w:hint="eastAsia" w:ascii="Times New Roman" w:hAnsi="Times New Roman" w:cs="Times New Roman"/>
                      <w:color w:val="auto"/>
                      <w:sz w:val="21"/>
                      <w:szCs w:val="21"/>
                      <w:lang w:eastAsia="zh-CN"/>
                    </w:rPr>
                    <w:t>废物</w:t>
                  </w:r>
                  <w:r>
                    <w:rPr>
                      <w:rFonts w:hint="default" w:ascii="Times New Roman" w:hAnsi="Times New Roman" w:eastAsia="宋体" w:cs="Times New Roman"/>
                      <w:color w:val="auto"/>
                      <w:sz w:val="21"/>
                      <w:szCs w:val="21"/>
                      <w:lang w:eastAsia="zh-CN"/>
                    </w:rPr>
                    <w:t>暂存间，</w:t>
                  </w:r>
                  <w:r>
                    <w:rPr>
                      <w:rFonts w:hint="default" w:ascii="Times New Roman" w:hAnsi="Times New Roman" w:eastAsia="宋体" w:cs="Times New Roman"/>
                      <w:color w:val="auto"/>
                      <w:sz w:val="21"/>
                      <w:szCs w:val="21"/>
                    </w:rPr>
                    <w:t>危险废物</w:t>
                  </w:r>
                  <w:r>
                    <w:rPr>
                      <w:rFonts w:hint="eastAsia" w:cs="Times New Roman"/>
                      <w:color w:val="auto"/>
                      <w:sz w:val="21"/>
                      <w:szCs w:val="21"/>
                      <w:lang w:eastAsia="zh-CN"/>
                    </w:rPr>
                    <w:t>暂存于危废间，定期交有资质单位处置</w:t>
                  </w:r>
                  <w:r>
                    <w:rPr>
                      <w:rFonts w:hint="eastAsia" w:ascii="Times New Roman" w:hAnsi="Times New Roman" w:cs="Times New Roman"/>
                      <w:color w:val="auto"/>
                      <w:sz w:val="21"/>
                      <w:szCs w:val="21"/>
                      <w:lang w:eastAsia="zh-CN"/>
                    </w:rPr>
                    <w:t>。</w:t>
                  </w:r>
                </w:p>
              </w:tc>
              <w:tc>
                <w:tcPr>
                  <w:tcW w:w="33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p>
              </w:tc>
              <w:tc>
                <w:tcPr>
                  <w:tcW w:w="377"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p>
              </w:tc>
              <w:tc>
                <w:tcPr>
                  <w:tcW w:w="413" w:type="pct"/>
                  <w:tcBorders>
                    <w:top w:val="single" w:color="auto" w:sz="4" w:space="0"/>
                    <w:left w:val="single" w:color="auto" w:sz="4" w:space="0"/>
                    <w:bottom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1605" w:type="pct"/>
                  <w:tcBorders>
                    <w:top w:val="single" w:color="auto" w:sz="4" w:space="0"/>
                    <w:left w:val="single" w:color="auto" w:sz="4" w:space="0"/>
                    <w:bottom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rPr>
                    <w:t>不合格产品重新上镀，厂房内设置一处一般固废暂存处，占地面积约30m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lang w:eastAsia="zh-CN"/>
                    </w:rPr>
                    <w:t>。</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auto"/>
                      <w:sz w:val="21"/>
                      <w:szCs w:val="21"/>
                    </w:rPr>
                    <w:t>不合格产品</w:t>
                  </w:r>
                  <w:r>
                    <w:rPr>
                      <w:rFonts w:hint="eastAsia" w:cs="Times New Roman"/>
                      <w:color w:val="auto"/>
                      <w:sz w:val="21"/>
                      <w:szCs w:val="21"/>
                      <w:lang w:eastAsia="zh-CN"/>
                    </w:rPr>
                    <w:t>产生后进行退镀处理，</w:t>
                  </w:r>
                  <w:r>
                    <w:rPr>
                      <w:rFonts w:hint="default" w:ascii="Times New Roman" w:hAnsi="Times New Roman" w:eastAsia="宋体" w:cs="Times New Roman"/>
                      <w:color w:val="auto"/>
                      <w:sz w:val="21"/>
                      <w:szCs w:val="21"/>
                    </w:rPr>
                    <w:t>重新上镀</w:t>
                  </w:r>
                  <w:r>
                    <w:rPr>
                      <w:rFonts w:hint="eastAsia" w:ascii="Times New Roman" w:hAnsi="Times New Roman" w:cs="Times New Roman"/>
                      <w:color w:val="auto"/>
                      <w:sz w:val="21"/>
                      <w:szCs w:val="21"/>
                      <w:lang w:eastAsia="zh-CN"/>
                    </w:rPr>
                    <w:t>。</w:t>
                  </w:r>
                </w:p>
              </w:tc>
              <w:tc>
                <w:tcPr>
                  <w:tcW w:w="3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lang w:eastAsia="zh-CN"/>
                    </w:rPr>
                  </w:pPr>
                  <w:r>
                    <w:rPr>
                      <w:rFonts w:hint="eastAsia" w:ascii="Times New Roman" w:hAnsi="Times New Roman" w:eastAsia="宋体" w:cs="Times New Roman"/>
                      <w:color w:val="000000"/>
                      <w:kern w:val="2"/>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p>
              </w:tc>
              <w:tc>
                <w:tcPr>
                  <w:tcW w:w="377"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p>
              </w:tc>
              <w:tc>
                <w:tcPr>
                  <w:tcW w:w="413" w:type="pct"/>
                  <w:tcBorders>
                    <w:top w:val="single" w:color="auto" w:sz="4" w:space="0"/>
                    <w:left w:val="single" w:color="auto" w:sz="4" w:space="0"/>
                    <w:bottom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1605" w:type="pct"/>
                  <w:tcBorders>
                    <w:top w:val="single" w:color="auto" w:sz="4" w:space="0"/>
                    <w:left w:val="single" w:color="auto" w:sz="4" w:space="0"/>
                    <w:bottom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pPr>
                  <w:r>
                    <w:rPr>
                      <w:rFonts w:hint="default" w:ascii="Times New Roman" w:hAnsi="Times New Roman" w:eastAsia="宋体" w:cs="Times New Roman"/>
                      <w:color w:val="auto"/>
                      <w:sz w:val="21"/>
                      <w:szCs w:val="21"/>
                    </w:rPr>
                    <w:t>生活垃圾交由环卫部门统一收运</w:t>
                  </w:r>
                  <w:r>
                    <w:rPr>
                      <w:rFonts w:hint="eastAsia" w:ascii="Times New Roman" w:hAnsi="Times New Roman" w:cs="Times New Roman"/>
                      <w:color w:val="auto"/>
                      <w:sz w:val="21"/>
                      <w:szCs w:val="21"/>
                      <w:lang w:eastAsia="zh-CN"/>
                    </w:rPr>
                    <w:t>。</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eastAsia="宋体" w:cs="Times New Roman"/>
                      <w:color w:val="000000"/>
                      <w:kern w:val="2"/>
                      <w:sz w:val="21"/>
                      <w:szCs w:val="21"/>
                      <w:lang w:eastAsia="zh-CN"/>
                    </w:rPr>
                  </w:pPr>
                  <w:r>
                    <w:rPr>
                      <w:rFonts w:hint="default" w:ascii="Times New Roman" w:hAnsi="Times New Roman" w:eastAsia="宋体" w:cs="Times New Roman"/>
                      <w:color w:val="auto"/>
                      <w:sz w:val="21"/>
                      <w:szCs w:val="21"/>
                    </w:rPr>
                    <w:t>生活垃圾交由环卫部门统一收运</w:t>
                  </w:r>
                  <w:r>
                    <w:rPr>
                      <w:rFonts w:hint="eastAsia" w:ascii="Times New Roman" w:hAnsi="Times New Roman" w:cs="Times New Roman"/>
                      <w:color w:val="auto"/>
                      <w:sz w:val="21"/>
                      <w:szCs w:val="21"/>
                      <w:lang w:eastAsia="zh-CN"/>
                    </w:rPr>
                    <w:t>。</w:t>
                  </w:r>
                </w:p>
              </w:tc>
              <w:tc>
                <w:tcPr>
                  <w:tcW w:w="3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56" w:type="pct"/>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rPr>
                  </w:pPr>
                </w:p>
              </w:tc>
              <w:tc>
                <w:tcPr>
                  <w:tcW w:w="377" w:type="pct"/>
                  <w:tcBorders>
                    <w:left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auto"/>
                      <w:sz w:val="21"/>
                      <w:szCs w:val="21"/>
                    </w:rPr>
                    <w:t>环境风险防范</w:t>
                  </w:r>
                </w:p>
              </w:tc>
              <w:tc>
                <w:tcPr>
                  <w:tcW w:w="2018" w:type="pct"/>
                  <w:gridSpan w:val="2"/>
                  <w:tcBorders>
                    <w:top w:val="single" w:color="auto" w:sz="4" w:space="0"/>
                    <w:left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依托电镀中心车间地下事故水池，配套应急切换、截断装置。编制环境风险应急预案并经主管部门备案。</w:t>
                  </w:r>
                </w:p>
              </w:tc>
              <w:tc>
                <w:tcPr>
                  <w:tcW w:w="2017" w:type="pct"/>
                  <w:tcBorders>
                    <w:top w:val="single" w:color="auto" w:sz="4" w:space="0"/>
                    <w:left w:val="single" w:color="auto" w:sz="4" w:space="0"/>
                    <w:right w:val="single" w:color="auto" w:sz="4" w:space="0"/>
                  </w:tcBorders>
                  <w:noWrap w:val="0"/>
                  <w:vAlign w:val="center"/>
                </w:tcPr>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依托电镀中心车间地下事故水池，配套应急切换、截断装置。</w:t>
                  </w:r>
                  <w:r>
                    <w:rPr>
                      <w:rFonts w:hint="default" w:ascii="Times New Roman" w:hAnsi="Times New Roman" w:eastAsia="宋体" w:cs="Times New Roman"/>
                      <w:color w:val="000000"/>
                      <w:kern w:val="2"/>
                      <w:sz w:val="21"/>
                      <w:szCs w:val="21"/>
                      <w:lang w:val="en-US"/>
                    </w:rPr>
                    <w:t>5</w:t>
                  </w:r>
                  <w:r>
                    <w:rPr>
                      <w:rFonts w:hint="default" w:ascii="Times New Roman" w:hAnsi="Times New Roman" w:eastAsia="宋体" w:cs="Times New Roman"/>
                      <w:color w:val="000000"/>
                      <w:kern w:val="2"/>
                      <w:sz w:val="21"/>
                      <w:szCs w:val="21"/>
                    </w:rPr>
                    <w:t>#生产车间地下室事故水池的容积为270m</w:t>
                  </w:r>
                  <w:r>
                    <w:rPr>
                      <w:rFonts w:hint="default" w:ascii="Times New Roman" w:hAnsi="Times New Roman" w:eastAsia="宋体" w:cs="Times New Roman"/>
                      <w:color w:val="000000"/>
                      <w:kern w:val="2"/>
                      <w:sz w:val="21"/>
                      <w:szCs w:val="21"/>
                      <w:vertAlign w:val="superscript"/>
                    </w:rPr>
                    <w:t>3</w:t>
                  </w:r>
                  <w:r>
                    <w:rPr>
                      <w:rFonts w:hint="default" w:ascii="Times New Roman" w:hAnsi="Times New Roman" w:eastAsia="宋体" w:cs="Times New Roman"/>
                      <w:color w:val="auto"/>
                      <w:sz w:val="21"/>
                      <w:szCs w:val="21"/>
                      <w:lang w:eastAsia="zh-CN"/>
                    </w:rPr>
                    <w:t>。</w:t>
                  </w:r>
                </w:p>
              </w:tc>
              <w:tc>
                <w:tcPr>
                  <w:tcW w:w="33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基本一致</w:t>
                  </w:r>
                </w:p>
              </w:tc>
            </w:tr>
          </w:tbl>
          <w:p>
            <w:pPr>
              <w:pStyle w:val="17"/>
              <w:spacing w:before="170"/>
              <w:rPr>
                <w:rFonts w:ascii="Times New Roman" w:hAnsi="Times New Roman" w:eastAsia="宋体"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000" w:type="pct"/>
            <w:gridSpan w:val="2"/>
          </w:tcPr>
          <w:p>
            <w:pPr>
              <w:pStyle w:val="17"/>
              <w:spacing w:line="360" w:lineRule="auto"/>
              <w:rPr>
                <w:rFonts w:ascii="Times New Roman" w:hAnsi="Times New Roman" w:eastAsia="宋体" w:cs="Times New Roman"/>
              </w:rPr>
            </w:pPr>
          </w:p>
        </w:tc>
      </w:tr>
    </w:tbl>
    <w:p>
      <w:pPr>
        <w:pStyle w:val="4"/>
        <w:rPr>
          <w:rFonts w:hint="default"/>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tbl>
      <w:tblPr>
        <w:tblStyle w:val="1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4" w:hRule="atLeast"/>
        </w:trPr>
        <w:tc>
          <w:tcPr>
            <w:tcW w:w="5000" w:type="pct"/>
          </w:tcPr>
          <w:p>
            <w:pPr>
              <w:pStyle w:val="17"/>
              <w:keepNext w:val="0"/>
              <w:keepLines w:val="0"/>
              <w:pageBreakBefore w:val="0"/>
              <w:widowControl w:val="0"/>
              <w:kinsoku/>
              <w:wordWrap/>
              <w:overflowPunct/>
              <w:topLinePunct w:val="0"/>
              <w:autoSpaceDE/>
              <w:autoSpaceDN/>
              <w:bidi w:val="0"/>
              <w:adjustRightInd w:val="0"/>
              <w:snapToGrid/>
              <w:spacing w:line="360" w:lineRule="auto"/>
              <w:textAlignment w:val="auto"/>
              <w:rPr>
                <w:rFonts w:ascii="Times New Roman" w:hAnsi="Times New Roman" w:eastAsia="宋体" w:cs="Times New Roman"/>
                <w:sz w:val="24"/>
                <w:szCs w:val="24"/>
              </w:rPr>
            </w:pPr>
            <w:r>
              <w:rPr>
                <w:rFonts w:ascii="Times New Roman" w:hAnsi="Times New Roman" w:eastAsia="宋体" w:cs="Times New Roman"/>
                <w:sz w:val="24"/>
                <w:szCs w:val="24"/>
              </w:rPr>
              <w:t>生产工艺流程</w:t>
            </w:r>
          </w:p>
          <w:p>
            <w:pPr>
              <w:keepNext w:val="0"/>
              <w:keepLines w:val="0"/>
              <w:pageBreakBefore w:val="0"/>
              <w:widowControl w:val="0"/>
              <w:kinsoku/>
              <w:wordWrap/>
              <w:overflowPunct/>
              <w:topLinePunct w:val="0"/>
              <w:autoSpaceDE/>
              <w:autoSpaceDN/>
              <w:bidi w:val="0"/>
              <w:snapToGrid/>
              <w:spacing w:line="360" w:lineRule="auto"/>
              <w:ind w:firstLine="480"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本</w:t>
            </w:r>
            <w:r>
              <w:rPr>
                <w:rFonts w:hint="default" w:ascii="Times New Roman" w:hAnsi="Times New Roman" w:eastAsia="宋体" w:cs="Times New Roman"/>
                <w:color w:val="000000"/>
                <w:sz w:val="24"/>
                <w:szCs w:val="24"/>
              </w:rPr>
              <w:t>项目</w:t>
            </w:r>
            <w:r>
              <w:rPr>
                <w:rFonts w:hint="default"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条电镀生产线全部离地建设，电镀线底部安装托盘收集清洗液和槽液，车间内每条废水管线均进行明示，张贴分类水质标签。</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lang w:val="en-US" w:eastAsia="zh-CN"/>
              </w:rPr>
              <w:t>1</w:t>
            </w:r>
            <w:r>
              <w:rPr>
                <w:rFonts w:hint="eastAsia" w:ascii="Times New Roman" w:hAnsi="Times New Roman" w:eastAsia="宋体" w:cs="Times New Roman"/>
                <w:color w:val="000000"/>
                <w:sz w:val="24"/>
                <w:szCs w:val="24"/>
                <w:lang w:eastAsia="zh-CN"/>
              </w:rPr>
              <w:t>、</w:t>
            </w:r>
            <w:r>
              <w:rPr>
                <w:rFonts w:hint="default" w:ascii="Times New Roman" w:hAnsi="Times New Roman" w:eastAsia="宋体" w:cs="Times New Roman"/>
                <w:sz w:val="24"/>
                <w:szCs w:val="24"/>
              </w:rPr>
              <w:t>挂镀锌线</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采用流水线全自动挂镀工艺，镀层厚度一般在15μm，采用碱性镀锌。</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新建挂镀锌线的主要工艺流程如下所述：</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（1）镀件上挂</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各类镀件放置于挂架上，待处理。</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（2）化学除油</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镀件表面常沾有指纹、油污以及靠静电作用而附着的灰尘等污染物，这些污垢应加以去除。化学除油是利用热碱溶液对油脂的皂化和乳化作用，将零件表面油污除去的过程。将零部件移至化学除油槽，除油槽内添加除油剂主要成分为氢氧化钠、硅酸钠等，设置1个化学除油槽，槽液温度为45-65℃，浸泡18分钟，移至下道工序。除油槽浮油通过溢流装置进入油水分离副槽内，每天人工捞出副槽表面浮游，采用专门容器盛装。</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（3）二级逆流水洗</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化学除油后的工件移入水洗槽，室温下采取两级逆流漂洗方式进行水洗，不添加任何清洗剂，水洗清洗时间10s，溢流流量按照3小时1个水洗槽容积循环，即0.39L/s。第二道清洗水水质较好，通过槽间溢流口直接套用至第一次清洗工序，即只有第一次清洗槽有废水排出，第二道清洗槽内补充用水。项目逆流水洗工序采用电磁阀和流量计装置只能控制，工件进入水洗槽内水洗时，系统自动启动补水、排水操作，待工件从水洗槽内水洗完毕提出后，系统自动停止补水、排水操作。</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（4）电解除油</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电解除油是将待镀件在碱性电解液的阴极或阳极上，在直流电的作用下将零件表面的油脂除去除油彻底、效果好。挂镀锌生产线水洗工序后待镀件进入电解除油工序，电解除油采用100~150g/L的电解除油粉（主要成分氢氧化钠等），镀件静置于脱脂槽内3min左右，温度控制在30℃，可将大部分油污去除。设置2个电解除油槽，除油方式与“化学除油”工段一致。</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（5）水洗</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与上述生产线中“二级逆流水洗”工艺基本一致。</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（6）酸洗</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二级逆流水洗后镀件放入酸洗槽（15%盐酸）常温酸洗活化6-18分钟，添加酸雾抑制剂（a-异癸基-ω-羟基-聚（氧-1，2-亚乙基）），挂镀锌生产线设置2个酸洗槽，酸洗完成后镀件在酸槽上稍作停留沥去表面酸液，以减少盐酸带出量，再进入下一道酸洗槽。酸洗槽间设置酸液托盘收集遗撒的酸洗液。</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（7）二级逆流水洗</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酸洗后镀件再次放入水洗槽进行逆流水洗，与上述“二级逆流水洗”中工艺完全一致。</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（8）活化</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为了保证后段电镀层与工件基体的结合力，将镀件再次通过酸溶液侵蚀，使其表面的氧化膜进一步溶解，以露出金属界面。</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与上述“酸洗”中工艺基本一致。主要区别在于盐酸溶液约5%，操作时间持续约3min。</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（9）二级逆流水洗</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活化后镀件再次放入水洗槽进行逆流水洗，与上述“二级逆流水洗”中工艺完全一致。</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（10）电镀锌</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项目镀锌生产线采用无氰镀锌工艺，无氰镀锌为环保型镀锌，镀液不含剧毒氰化物，废水易处理。</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锌酸盐镀锌液的成分较简单，由氧化锌、氢氧化钠和添加剂组成，阳极为锌锭(纯度&gt;99%)；镀液中氧化锌 12g/L、NaOH100~150g/L，添加剂0.05~0.1g/L，添加剂主要包括光亮剂（1-苄基烟酸盐）、柔软剂（N,N'-双[3-(二甲基氨基)丙基]脲与1,1'-氧双[2-氯乙烷]的聚合物）和净化剂（硫脲）。槽液温度控制在25℃，操作时间约36-60min。生产线配置6个镀锌槽便于镀件分批操作。该工艺镀液对设备腐蚀性小，镀液较稳定，平时只需更换锌锭、加入氢氧化钠即可。</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电镀工序不产生废水及工艺废气，在电镀过程中将产生一定量的氢气和氧气。镀锌完成后镀件在镀锌槽上稍作停留沥去表面槽液，以减少槽液带出量。镀锌槽液不更换，定期分析进行主盐补充，生产过程槽液进行连续过滤处理，产生废过滤芯（S-废滤芯），平均更换周期为2个月，建设单位收集后放入车间一层的危废暂存间暂存，委托有资质单位处理</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（11）二级逆流水洗</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镀锌后将镀件移入水洗槽，与上述“二级逆流水洗”中工艺和原理基本一致。主要区别在于第二道水洗槽采用超声波清洗工艺。</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（12）出光</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钝化前把镀锌件在稀硝酸溶液中浸一下，可提高镀锌层的光亮度，还可以中和零件表面未清洗干净的碱液，有利于钝化液稳定。出光工序槽液是以自来水配置的稀硝酸溶液约5g/L，操作时间约30s，控制温度为常温，由于硝酸浓度低，该工序不产生硝酸雾。生产车间内不进行配酸，硝酸根据需要定期进行添加。</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（13）钝化、水洗</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锌的化学性质活泼，在大气中容易氧化变暗，最后产生“白锈”腐蚀。镀锌后经过铬酸盐处理，以便在锌上覆盖一层化学转化膜，使活泼的金属处于钝态，这就叫锌层铬酸盐钝化处理。铬酸盐薄膜能使锌的耐蚀性能提高6~8倍，并赋予锌以美丽的装饰外观和抗污能力。目前钝化主要有六价铬钝化与三价铬钝化，本项目挂镀生产线均采用低毒性三价铬钝化工艺。</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三价铬膜层是通过锌的溶解形成锌离子，同时锌离子的溶解造成锌表面溶液的pH值上升，三价铬直接与锌离子、氢氧根等反应，形成不溶性化合物沉淀在锌表面上而形成钝化膜。</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钝化过程包括三价铬白色钝化——二级逆流水洗——三价铬彩色钝化——二级逆流水洗——热水洗。三价铬钝化液主要成份为三价铬60mL/L，温度常温，操作时间约30s；二级逆流水洗与上述“二级逆流水洗”工艺基本一致。热水洗温度控制在70℃，操作时间为10s，热水更换频次为15天/次。水洗完成后镀件在水洗槽上方稍作停留沥去表面残留的水，以减少水洗水的带出量。</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钝化槽液定期分析补充钝化液，减少钝化液废弃或重新配置的次数，延长钝化液使用寿命，根据业主生产经验，钝化槽液（S-废槽液）平均更换周期为12个月，暂存</w:t>
            </w:r>
            <w:r>
              <w:rPr>
                <w:rFonts w:hint="eastAsia" w:ascii="Times New Roman" w:hAnsi="Times New Roman" w:eastAsia="宋体" w:cs="Times New Roman"/>
                <w:sz w:val="24"/>
                <w:szCs w:val="24"/>
                <w:lang w:eastAsia="zh-CN"/>
              </w:rPr>
              <w:t>于危废库中，定期</w:t>
            </w:r>
            <w:r>
              <w:rPr>
                <w:rFonts w:hint="default" w:ascii="Times New Roman" w:hAnsi="Times New Roman" w:eastAsia="宋体" w:cs="Times New Roman"/>
                <w:sz w:val="24"/>
                <w:szCs w:val="24"/>
              </w:rPr>
              <w:t>委托有资质单位处理。</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（14）封闭</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为了弥补镀层缺陷，提高镀层防护性能，采用自来水配置300g/L封闭溶液（水溶性环保有机硅烷封闭剂）进行封闭处理，设置1个封闭槽，操作温度为常温，操作时间30s。封闭槽液不更换，定期分析补充添加</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（15）烘干</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项目采用蒸汽间接加热对镀件烘干，烘干温度控制50~70℃，烘干时间约15min。</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项目挂镀锌不设置退镀工艺。</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滚镀锌</w:t>
            </w:r>
            <w:r>
              <w:rPr>
                <w:rFonts w:hint="eastAsia" w:ascii="Times New Roman" w:hAnsi="Times New Roman" w:eastAsia="宋体" w:cs="Times New Roman"/>
                <w:sz w:val="24"/>
                <w:szCs w:val="24"/>
                <w:lang w:eastAsia="zh-CN"/>
              </w:rPr>
              <w:t>线</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滚镀锌线主要工序包括化学除油、酸洗、活化、滚镀锌、出光、钝化；上述工艺与前述工艺类似，在此不赘述，电镀液为酸性电镀，项目钝化采用三价铬钝化。</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（1）酸性镀锌</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酸性滚镀锌生产线采用无氰镀锌工艺，无氰镀锌为环保型镀锌，镀液不含剧毒氰化物，废水易处理。镀液以纯水配置，主要成份为ZnCl2：40-60g/L、KCl：200-260g/l、H3BO3：25~30g/L、添加剂20g/L，添加剂主要包括光亮剂（亚苄基丙酮，2-氯苯甲醛，2-丁氧基乙醇）、柔软剂（（1-甲基乙基）苯单磺酸钠，硫酸单（2-乙基己基）酯钠盐）。槽液温度控制在25~35℃，操作时间约3h。镀锌完成后镀件在镀锌槽上稍作停留沥去表面槽液，以减少槽液带出量。镀锌槽液不更换，定期分析进行主盐补充，生产过程槽液进行连续过滤处理，产生废过滤芯，平均更换周期为2个月，建设单位收集后放入车间一层的危废暂存间暂存，委托有资质单位处理。</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（2）离心甩干</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钝化水洗后工件常温条件下离心甩干60s。</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（3）料筒退镀</w:t>
            </w:r>
          </w:p>
          <w:p>
            <w:pPr>
              <w:pStyle w:val="17"/>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经检验不合格镀锌挂镀件和挂具需要退除镀层重新上挂。退镀镀锌件经盐酸酸液溶解退镀，退镀槽内主要成分为15% 盐酸溶液，室温条件下操作，退镀操作时间240s~360s左右，在通入电流的作用下去除挂具上的镀层。槽液定期检测分析，添加盐酸，退镀槽液不进行更换，定期对退镀槽内槽渣进行清理，作为危废处置。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4" w:hRule="atLeast"/>
        </w:trPr>
        <w:tc>
          <w:tcPr>
            <w:tcW w:w="5000" w:type="pct"/>
          </w:tcPr>
          <w:p>
            <w:pPr>
              <w:pStyle w:val="17"/>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工程占地及平面布置</w:t>
            </w:r>
          </w:p>
          <w:p>
            <w:pPr>
              <w:pStyle w:val="17"/>
              <w:spacing w:line="360" w:lineRule="auto"/>
              <w:rPr>
                <w:rFonts w:ascii="Times New Roman" w:hAnsi="Times New Roman" w:eastAsia="宋体" w:cs="Times New Roman"/>
                <w:b/>
                <w:bCs/>
                <w:sz w:val="24"/>
                <w:szCs w:val="24"/>
              </w:rPr>
            </w:pPr>
            <w:r>
              <w:rPr>
                <w:rStyle w:val="18"/>
                <w:rFonts w:hint="eastAsia" w:ascii="Times New Roman" w:hAnsi="Times New Roman" w:eastAsia="宋体" w:cs="Times New Roman"/>
                <w:color w:val="auto"/>
                <w:lang w:eastAsia="zh-CN"/>
              </w:rPr>
              <w:drawing>
                <wp:inline distT="0" distB="0" distL="114300" distR="114300">
                  <wp:extent cx="5227955" cy="3276600"/>
                  <wp:effectExtent l="0" t="0" r="10795" b="0"/>
                  <wp:docPr id="16" name="图片 1" descr="附图4 车间内部布局图.pdf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附图4 车间内部布局图.pdf_page_1"/>
                          <pic:cNvPicPr>
                            <a:picLocks noChangeAspect="1"/>
                          </pic:cNvPicPr>
                        </pic:nvPicPr>
                        <pic:blipFill>
                          <a:blip r:embed="rId7"/>
                          <a:srcRect l="8360" t="6279" r="4054" b="16142"/>
                          <a:stretch>
                            <a:fillRect/>
                          </a:stretch>
                        </pic:blipFill>
                        <pic:spPr>
                          <a:xfrm>
                            <a:off x="0" y="0"/>
                            <a:ext cx="5227955" cy="3276600"/>
                          </a:xfrm>
                          <a:prstGeom prst="rect">
                            <a:avLst/>
                          </a:prstGeom>
                          <a:noFill/>
                          <a:ln>
                            <a:noFill/>
                          </a:ln>
                        </pic:spPr>
                      </pic:pic>
                    </a:graphicData>
                  </a:graphic>
                </wp:inline>
              </w:drawing>
            </w:r>
          </w:p>
          <w:p>
            <w:pPr>
              <w:pStyle w:val="17"/>
              <w:spacing w:line="360" w:lineRule="auto"/>
              <w:jc w:val="center"/>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t>图</w:t>
            </w:r>
            <w:r>
              <w:rPr>
                <w:rFonts w:hint="eastAsia" w:ascii="Times New Roman" w:hAnsi="Times New Roman" w:eastAsia="宋体" w:cs="Times New Roman"/>
                <w:b/>
                <w:bCs/>
                <w:sz w:val="24"/>
                <w:szCs w:val="24"/>
                <w:lang w:val="en-US" w:eastAsia="zh-CN"/>
              </w:rPr>
              <w:t>4</w:t>
            </w:r>
            <w:r>
              <w:rPr>
                <w:rFonts w:hint="eastAsia" w:ascii="Times New Roman" w:hAnsi="Times New Roman" w:eastAsia="宋体" w:cs="Times New Roman"/>
                <w:b/>
                <w:bCs/>
                <w:sz w:val="24"/>
                <w:szCs w:val="24"/>
              </w:rPr>
              <w:t>-</w:t>
            </w:r>
            <w:r>
              <w:rPr>
                <w:rFonts w:hint="eastAsia" w:ascii="Times New Roman" w:hAnsi="Times New Roman" w:eastAsia="宋体" w:cs="Times New Roman"/>
                <w:b/>
                <w:bCs/>
                <w:sz w:val="24"/>
                <w:szCs w:val="24"/>
                <w:lang w:val="en-US" w:eastAsia="zh-CN"/>
              </w:rPr>
              <w:t>1</w:t>
            </w:r>
            <w:r>
              <w:rPr>
                <w:rFonts w:hint="eastAsia" w:ascii="Times New Roman" w:hAnsi="Times New Roman" w:eastAsia="宋体" w:cs="Times New Roman"/>
                <w:b/>
                <w:bCs/>
                <w:sz w:val="24"/>
                <w:szCs w:val="24"/>
              </w:rPr>
              <w:t xml:space="preserve"> 项目</w:t>
            </w:r>
            <w:r>
              <w:rPr>
                <w:rFonts w:hint="eastAsia" w:ascii="Times New Roman" w:hAnsi="Times New Roman" w:eastAsia="宋体" w:cs="Times New Roman"/>
                <w:b/>
                <w:bCs/>
                <w:sz w:val="24"/>
                <w:szCs w:val="24"/>
                <w:lang w:val="en-US" w:eastAsia="zh-CN"/>
              </w:rPr>
              <w:t>1层</w:t>
            </w:r>
            <w:r>
              <w:rPr>
                <w:rFonts w:hint="eastAsia" w:ascii="Times New Roman" w:hAnsi="Times New Roman" w:eastAsia="宋体" w:cs="Times New Roman"/>
                <w:b/>
                <w:bCs/>
                <w:sz w:val="24"/>
                <w:szCs w:val="24"/>
                <w:lang w:eastAsia="zh-CN"/>
              </w:rPr>
              <w:t>平面布置</w:t>
            </w:r>
            <w:r>
              <w:rPr>
                <w:rFonts w:hint="eastAsia" w:ascii="Times New Roman" w:hAnsi="Times New Roman" w:eastAsia="宋体" w:cs="Times New Roman"/>
                <w:b/>
                <w:bCs/>
                <w:sz w:val="24"/>
                <w:szCs w:val="24"/>
              </w:rPr>
              <w:t>图</w:t>
            </w:r>
          </w:p>
          <w:p>
            <w:pPr>
              <w:pStyle w:val="17"/>
              <w:spacing w:line="360" w:lineRule="auto"/>
              <w:jc w:val="center"/>
              <w:rPr>
                <w:rStyle w:val="18"/>
                <w:rFonts w:hint="eastAsia" w:ascii="Times New Roman" w:hAnsi="Times New Roman" w:eastAsia="宋体" w:cs="Times New Roman"/>
                <w:color w:val="auto"/>
                <w:lang w:eastAsia="zh-CN"/>
              </w:rPr>
            </w:pPr>
            <w:r>
              <w:rPr>
                <w:rStyle w:val="18"/>
                <w:rFonts w:hint="eastAsia" w:ascii="Times New Roman" w:hAnsi="Times New Roman" w:eastAsia="宋体" w:cs="Times New Roman"/>
                <w:color w:val="auto"/>
                <w:lang w:eastAsia="zh-CN"/>
              </w:rPr>
              <w:drawing>
                <wp:inline distT="0" distB="0" distL="114300" distR="114300">
                  <wp:extent cx="5182235" cy="3245485"/>
                  <wp:effectExtent l="0" t="0" r="18415" b="12065"/>
                  <wp:docPr id="18" name="图片 2" descr="附图4 车间内部布局图.pdf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附图4 车间内部布局图.pdf_page_2"/>
                          <pic:cNvPicPr>
                            <a:picLocks noChangeAspect="1"/>
                          </pic:cNvPicPr>
                        </pic:nvPicPr>
                        <pic:blipFill>
                          <a:blip r:embed="rId8"/>
                          <a:srcRect l="8566" t="6548" r="4100" b="16153"/>
                          <a:stretch>
                            <a:fillRect/>
                          </a:stretch>
                        </pic:blipFill>
                        <pic:spPr>
                          <a:xfrm>
                            <a:off x="0" y="0"/>
                            <a:ext cx="5182235" cy="3245485"/>
                          </a:xfrm>
                          <a:prstGeom prst="rect">
                            <a:avLst/>
                          </a:prstGeom>
                          <a:noFill/>
                          <a:ln>
                            <a:noFill/>
                          </a:ln>
                        </pic:spPr>
                      </pic:pic>
                    </a:graphicData>
                  </a:graphic>
                </wp:inline>
              </w:drawing>
            </w:r>
          </w:p>
          <w:p>
            <w:pPr>
              <w:pStyle w:val="17"/>
              <w:spacing w:line="360" w:lineRule="auto"/>
              <w:jc w:val="center"/>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t>图</w:t>
            </w:r>
            <w:r>
              <w:rPr>
                <w:rFonts w:hint="eastAsia" w:ascii="Times New Roman" w:hAnsi="Times New Roman" w:eastAsia="宋体" w:cs="Times New Roman"/>
                <w:b/>
                <w:bCs/>
                <w:sz w:val="24"/>
                <w:szCs w:val="24"/>
                <w:lang w:val="en-US" w:eastAsia="zh-CN"/>
              </w:rPr>
              <w:t>4</w:t>
            </w:r>
            <w:r>
              <w:rPr>
                <w:rFonts w:hint="eastAsia" w:ascii="Times New Roman" w:hAnsi="Times New Roman" w:eastAsia="宋体" w:cs="Times New Roman"/>
                <w:b/>
                <w:bCs/>
                <w:sz w:val="24"/>
                <w:szCs w:val="24"/>
              </w:rPr>
              <w:t>-</w:t>
            </w:r>
            <w:r>
              <w:rPr>
                <w:rFonts w:hint="eastAsia" w:ascii="Times New Roman" w:hAnsi="Times New Roman" w:eastAsia="宋体" w:cs="Times New Roman"/>
                <w:b/>
                <w:bCs/>
                <w:sz w:val="24"/>
                <w:szCs w:val="24"/>
                <w:lang w:val="en-US" w:eastAsia="zh-CN"/>
              </w:rPr>
              <w:t>2</w:t>
            </w:r>
            <w:r>
              <w:rPr>
                <w:rFonts w:hint="eastAsia" w:ascii="Times New Roman" w:hAnsi="Times New Roman" w:eastAsia="宋体" w:cs="Times New Roman"/>
                <w:b/>
                <w:bCs/>
                <w:sz w:val="24"/>
                <w:szCs w:val="24"/>
              </w:rPr>
              <w:t xml:space="preserve"> 项目</w:t>
            </w:r>
            <w:r>
              <w:rPr>
                <w:rFonts w:hint="eastAsia" w:ascii="Times New Roman" w:hAnsi="Times New Roman" w:eastAsia="宋体" w:cs="Times New Roman"/>
                <w:b/>
                <w:bCs/>
                <w:sz w:val="24"/>
                <w:szCs w:val="24"/>
                <w:lang w:val="en-US" w:eastAsia="zh-CN"/>
              </w:rPr>
              <w:t>2层</w:t>
            </w:r>
            <w:r>
              <w:rPr>
                <w:rFonts w:hint="eastAsia" w:ascii="Times New Roman" w:hAnsi="Times New Roman" w:eastAsia="宋体" w:cs="Times New Roman"/>
                <w:b/>
                <w:bCs/>
                <w:sz w:val="24"/>
                <w:szCs w:val="24"/>
                <w:lang w:eastAsia="zh-CN"/>
              </w:rPr>
              <w:t>平面布置</w:t>
            </w:r>
            <w:r>
              <w:rPr>
                <w:rFonts w:hint="eastAsia" w:ascii="Times New Roman" w:hAnsi="Times New Roman" w:eastAsia="宋体" w:cs="Times New Roman"/>
                <w:b/>
                <w:bCs/>
                <w:sz w:val="24"/>
                <w:szCs w:val="24"/>
              </w:rPr>
              <w:t>图</w:t>
            </w:r>
          </w:p>
          <w:p>
            <w:pPr>
              <w:pStyle w:val="17"/>
              <w:spacing w:line="360" w:lineRule="auto"/>
              <w:jc w:val="center"/>
              <w:rPr>
                <w:rStyle w:val="18"/>
                <w:rFonts w:hint="eastAsia" w:ascii="Times New Roman" w:hAnsi="Times New Roman" w:eastAsia="宋体" w:cs="Times New Roman"/>
                <w:color w:val="auto"/>
                <w:lang w:eastAsia="zh-CN"/>
              </w:rPr>
            </w:pPr>
            <w:r>
              <w:rPr>
                <w:sz w:val="24"/>
              </w:rPr>
              <w:drawing>
                <wp:inline distT="0" distB="0" distL="114300" distR="114300">
                  <wp:extent cx="5146675" cy="3214370"/>
                  <wp:effectExtent l="0" t="0" r="15875" b="5080"/>
                  <wp:docPr id="21" name="图片 3" descr="附图4 车间内部布局图.pdf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附图4 车间内部布局图.pdf_page_3"/>
                          <pic:cNvPicPr>
                            <a:picLocks noChangeAspect="1"/>
                          </pic:cNvPicPr>
                        </pic:nvPicPr>
                        <pic:blipFill>
                          <a:blip r:embed="rId9"/>
                          <a:srcRect l="8125" t="6548" r="4199" b="16068"/>
                          <a:stretch>
                            <a:fillRect/>
                          </a:stretch>
                        </pic:blipFill>
                        <pic:spPr>
                          <a:xfrm>
                            <a:off x="0" y="0"/>
                            <a:ext cx="5146675" cy="3214370"/>
                          </a:xfrm>
                          <a:prstGeom prst="rect">
                            <a:avLst/>
                          </a:prstGeom>
                          <a:noFill/>
                          <a:ln>
                            <a:noFill/>
                          </a:ln>
                        </pic:spPr>
                      </pic:pic>
                    </a:graphicData>
                  </a:graphic>
                </wp:inline>
              </w:drawing>
            </w:r>
          </w:p>
          <w:p>
            <w:pPr>
              <w:pStyle w:val="17"/>
              <w:spacing w:line="360" w:lineRule="auto"/>
              <w:jc w:val="center"/>
              <w:rPr>
                <w:rFonts w:hint="eastAsia" w:ascii="Times New Roman" w:hAnsi="Times New Roman" w:eastAsia="宋体" w:cs="Times New Roman"/>
                <w:b/>
                <w:bCs/>
                <w:sz w:val="21"/>
                <w:szCs w:val="21"/>
              </w:rPr>
            </w:pPr>
            <w:r>
              <w:rPr>
                <w:rFonts w:hint="eastAsia" w:ascii="Times New Roman" w:hAnsi="Times New Roman" w:eastAsia="宋体" w:cs="Times New Roman"/>
                <w:b/>
                <w:bCs/>
                <w:sz w:val="24"/>
                <w:szCs w:val="24"/>
              </w:rPr>
              <w:t>图</w:t>
            </w:r>
            <w:r>
              <w:rPr>
                <w:rFonts w:hint="eastAsia" w:ascii="Times New Roman" w:hAnsi="Times New Roman" w:eastAsia="宋体" w:cs="Times New Roman"/>
                <w:b/>
                <w:bCs/>
                <w:sz w:val="24"/>
                <w:szCs w:val="24"/>
                <w:lang w:val="en-US" w:eastAsia="zh-CN"/>
              </w:rPr>
              <w:t>4</w:t>
            </w:r>
            <w:r>
              <w:rPr>
                <w:rFonts w:hint="eastAsia" w:ascii="Times New Roman" w:hAnsi="Times New Roman" w:eastAsia="宋体" w:cs="Times New Roman"/>
                <w:b/>
                <w:bCs/>
                <w:sz w:val="24"/>
                <w:szCs w:val="24"/>
              </w:rPr>
              <w:t>-</w:t>
            </w:r>
            <w:r>
              <w:rPr>
                <w:rFonts w:hint="eastAsia" w:ascii="Times New Roman" w:hAnsi="Times New Roman" w:eastAsia="宋体" w:cs="Times New Roman"/>
                <w:b/>
                <w:bCs/>
                <w:sz w:val="24"/>
                <w:szCs w:val="24"/>
                <w:lang w:val="en-US" w:eastAsia="zh-CN"/>
              </w:rPr>
              <w:t>3</w:t>
            </w:r>
            <w:r>
              <w:rPr>
                <w:rFonts w:hint="eastAsia" w:ascii="Times New Roman" w:hAnsi="Times New Roman" w:eastAsia="宋体" w:cs="Times New Roman"/>
                <w:b/>
                <w:bCs/>
                <w:sz w:val="24"/>
                <w:szCs w:val="24"/>
              </w:rPr>
              <w:t xml:space="preserve"> 项目</w:t>
            </w:r>
            <w:r>
              <w:rPr>
                <w:rFonts w:hint="eastAsia" w:ascii="Times New Roman" w:hAnsi="Times New Roman" w:eastAsia="宋体" w:cs="Times New Roman"/>
                <w:b/>
                <w:bCs/>
                <w:sz w:val="24"/>
                <w:szCs w:val="24"/>
                <w:lang w:val="en-US" w:eastAsia="zh-CN"/>
              </w:rPr>
              <w:t>3层</w:t>
            </w:r>
            <w:r>
              <w:rPr>
                <w:rFonts w:hint="eastAsia" w:ascii="Times New Roman" w:hAnsi="Times New Roman" w:eastAsia="宋体" w:cs="Times New Roman"/>
                <w:b/>
                <w:bCs/>
                <w:sz w:val="24"/>
                <w:szCs w:val="24"/>
                <w:lang w:eastAsia="zh-CN"/>
              </w:rPr>
              <w:t>平面布置</w:t>
            </w:r>
            <w:r>
              <w:rPr>
                <w:rFonts w:hint="eastAsia" w:ascii="Times New Roman" w:hAnsi="Times New Roman" w:eastAsia="宋体" w:cs="Times New Roman"/>
                <w:b/>
                <w:bCs/>
                <w:sz w:val="24"/>
                <w:szCs w:val="24"/>
              </w:rPr>
              <w:t>图</w:t>
            </w:r>
          </w:p>
        </w:tc>
      </w:tr>
    </w:tbl>
    <w:p>
      <w:pPr>
        <w:pStyle w:val="5"/>
        <w:rPr>
          <w:rFonts w:hint="default"/>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tbl>
      <w:tblPr>
        <w:tblStyle w:val="1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3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20" w:hRule="atLeast"/>
        </w:trPr>
        <w:tc>
          <w:tcPr>
            <w:tcW w:w="5000" w:type="pct"/>
          </w:tcPr>
          <w:p>
            <w:pPr>
              <w:pStyle w:val="17"/>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cs="Times New Roman"/>
                <w:sz w:val="24"/>
                <w:szCs w:val="24"/>
              </w:rPr>
            </w:pPr>
            <w:r>
              <w:rPr>
                <w:rFonts w:ascii="Times New Roman" w:hAnsi="Times New Roman" w:eastAsia="宋体" w:cs="Times New Roman"/>
                <w:sz w:val="24"/>
                <w:szCs w:val="24"/>
              </w:rPr>
              <w:t>工程环境保护投资明细</w:t>
            </w:r>
          </w:p>
          <w:p>
            <w:pPr>
              <w:pStyle w:val="17"/>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rPr>
              <w:t>根据建设单位提供的资料，本项目计划总投资</w:t>
            </w:r>
            <w:r>
              <w:rPr>
                <w:rFonts w:hint="eastAsia" w:ascii="Times New Roman" w:hAnsi="Times New Roman" w:eastAsia="宋体" w:cs="Times New Roman"/>
                <w:sz w:val="24"/>
                <w:szCs w:val="24"/>
                <w:lang w:val="en-US" w:eastAsia="zh-CN"/>
              </w:rPr>
              <w:t>1300</w:t>
            </w:r>
            <w:r>
              <w:rPr>
                <w:rFonts w:hint="eastAsia" w:ascii="Times New Roman" w:hAnsi="Times New Roman" w:eastAsia="宋体" w:cs="Times New Roman"/>
                <w:sz w:val="24"/>
                <w:szCs w:val="24"/>
              </w:rPr>
              <w:t>万元，计划环保投资</w:t>
            </w:r>
            <w:r>
              <w:rPr>
                <w:rFonts w:hint="eastAsia" w:ascii="Times New Roman" w:hAnsi="Times New Roman" w:eastAsia="宋体" w:cs="Times New Roman"/>
                <w:sz w:val="24"/>
                <w:szCs w:val="24"/>
                <w:lang w:val="en-US" w:eastAsia="zh-CN"/>
              </w:rPr>
              <w:t>270</w:t>
            </w:r>
            <w:r>
              <w:rPr>
                <w:rFonts w:hint="eastAsia" w:ascii="Times New Roman" w:hAnsi="Times New Roman" w:eastAsia="宋体" w:cs="Times New Roman"/>
                <w:sz w:val="24"/>
                <w:szCs w:val="24"/>
              </w:rPr>
              <w:t>万元，</w:t>
            </w:r>
            <w:r>
              <w:rPr>
                <w:rFonts w:hint="default" w:ascii="Times New Roman" w:hAnsi="Times New Roman" w:cs="Times New Roman"/>
                <w:color w:val="auto"/>
                <w:sz w:val="24"/>
                <w:szCs w:val="24"/>
              </w:rPr>
              <w:t>约占总投资的</w:t>
            </w:r>
            <w:r>
              <w:rPr>
                <w:rFonts w:hint="eastAsia" w:ascii="Times New Roman" w:hAnsi="Times New Roman" w:cs="Times New Roman"/>
                <w:color w:val="auto"/>
                <w:sz w:val="24"/>
                <w:szCs w:val="24"/>
                <w:lang w:val="en-US" w:eastAsia="zh-CN"/>
              </w:rPr>
              <w:t>22.8</w:t>
            </w:r>
            <w:r>
              <w:rPr>
                <w:rFonts w:hint="default" w:ascii="Times New Roman" w:hAnsi="Times New Roman" w:cs="Times New Roman"/>
                <w:color w:val="auto"/>
                <w:sz w:val="24"/>
                <w:szCs w:val="24"/>
              </w:rPr>
              <w:t>%</w:t>
            </w:r>
            <w:r>
              <w:rPr>
                <w:rFonts w:hint="eastAsia" w:ascii="Times New Roman" w:hAnsi="Times New Roman" w:eastAsia="宋体" w:cs="Times New Roman"/>
                <w:color w:val="auto"/>
                <w:sz w:val="24"/>
                <w:szCs w:val="24"/>
                <w:lang w:eastAsia="zh-CN"/>
              </w:rPr>
              <w:t>。本工程</w:t>
            </w:r>
            <w:r>
              <w:rPr>
                <w:rFonts w:hint="eastAsia" w:ascii="Times New Roman" w:hAnsi="Times New Roman" w:eastAsia="宋体" w:cs="Times New Roman"/>
                <w:sz w:val="24"/>
                <w:szCs w:val="24"/>
              </w:rPr>
              <w:t>实际总投资约</w:t>
            </w:r>
            <w:r>
              <w:rPr>
                <w:rFonts w:hint="eastAsia" w:ascii="Times New Roman" w:hAnsi="Times New Roman" w:eastAsia="宋体" w:cs="Times New Roman"/>
                <w:sz w:val="24"/>
                <w:szCs w:val="24"/>
                <w:lang w:val="en-US" w:eastAsia="zh-CN"/>
              </w:rPr>
              <w:t>1300</w:t>
            </w:r>
            <w:r>
              <w:rPr>
                <w:rFonts w:hint="eastAsia" w:ascii="Times New Roman" w:hAnsi="Times New Roman" w:eastAsia="宋体" w:cs="Times New Roman"/>
                <w:sz w:val="24"/>
                <w:szCs w:val="24"/>
              </w:rPr>
              <w:t>万元，环保投资</w:t>
            </w:r>
            <w:r>
              <w:rPr>
                <w:rFonts w:hint="eastAsia" w:ascii="Times New Roman" w:hAnsi="Times New Roman" w:eastAsia="宋体" w:cs="Times New Roman"/>
                <w:sz w:val="24"/>
                <w:szCs w:val="24"/>
                <w:lang w:val="en-US" w:eastAsia="zh-CN"/>
              </w:rPr>
              <w:t>286</w:t>
            </w:r>
            <w:r>
              <w:rPr>
                <w:rFonts w:hint="eastAsia" w:ascii="Times New Roman" w:hAnsi="Times New Roman" w:eastAsia="宋体" w:cs="Times New Roman"/>
                <w:sz w:val="24"/>
                <w:szCs w:val="24"/>
              </w:rPr>
              <w:t>万元，</w:t>
            </w:r>
            <w:r>
              <w:rPr>
                <w:rFonts w:hint="default" w:ascii="Times New Roman" w:hAnsi="Times New Roman" w:cs="Times New Roman"/>
                <w:color w:val="auto"/>
                <w:sz w:val="24"/>
                <w:szCs w:val="24"/>
              </w:rPr>
              <w:t>约占总投资的</w:t>
            </w:r>
            <w:r>
              <w:rPr>
                <w:rFonts w:hint="eastAsia" w:ascii="Times New Roman" w:hAnsi="Times New Roman" w:cs="Times New Roman"/>
                <w:color w:val="auto"/>
                <w:sz w:val="24"/>
                <w:szCs w:val="24"/>
                <w:lang w:val="en-US" w:eastAsia="zh-CN"/>
              </w:rPr>
              <w:t>22</w:t>
            </w:r>
            <w:r>
              <w:rPr>
                <w:rFonts w:hint="default" w:ascii="Times New Roman" w:hAnsi="Times New Roman" w:cs="Times New Roman"/>
                <w:color w:val="auto"/>
                <w:sz w:val="24"/>
                <w:szCs w:val="24"/>
              </w:rPr>
              <w:t>%</w:t>
            </w:r>
            <w:r>
              <w:rPr>
                <w:rFonts w:hint="default" w:ascii="Times New Roman" w:hAnsi="Times New Roman" w:eastAsia="宋体" w:cs="Times New Roman"/>
                <w:sz w:val="24"/>
                <w:szCs w:val="24"/>
              </w:rPr>
              <w:t>。由</w:t>
            </w:r>
            <w:r>
              <w:rPr>
                <w:rFonts w:hint="default" w:ascii="Times New Roman" w:hAnsi="Times New Roman" w:eastAsia="宋体" w:cs="Times New Roman"/>
                <w:sz w:val="24"/>
                <w:szCs w:val="24"/>
                <w:lang w:eastAsia="zh-CN"/>
              </w:rPr>
              <w:t>下</w:t>
            </w:r>
            <w:r>
              <w:rPr>
                <w:rFonts w:hint="default" w:ascii="Times New Roman" w:hAnsi="Times New Roman" w:eastAsia="宋体" w:cs="Times New Roman"/>
                <w:sz w:val="24"/>
                <w:szCs w:val="24"/>
              </w:rPr>
              <w:t>表可知，环评中提出的</w:t>
            </w:r>
            <w:r>
              <w:rPr>
                <w:rFonts w:hint="eastAsia" w:ascii="Times New Roman" w:hAnsi="Times New Roman" w:eastAsia="宋体" w:cs="Times New Roman"/>
                <w:sz w:val="24"/>
                <w:szCs w:val="24"/>
                <w:lang w:eastAsia="zh-CN"/>
              </w:rPr>
              <w:t>固体废物、环境风险管理</w:t>
            </w:r>
            <w:r>
              <w:rPr>
                <w:rFonts w:hint="default" w:ascii="Times New Roman" w:hAnsi="Times New Roman" w:eastAsia="宋体" w:cs="Times New Roman"/>
                <w:sz w:val="24"/>
                <w:szCs w:val="24"/>
              </w:rPr>
              <w:t>等环保投资在项目运营期得到落实。</w:t>
            </w:r>
          </w:p>
          <w:p>
            <w:pPr>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w:t>
            </w:r>
            <w:r>
              <w:rPr>
                <w:rFonts w:hint="eastAsia"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工程环保实际设施投资一览表</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8"/>
              <w:gridCol w:w="939"/>
              <w:gridCol w:w="5421"/>
              <w:gridCol w:w="1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3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序号</w:t>
                  </w:r>
                </w:p>
              </w:tc>
              <w:tc>
                <w:tcPr>
                  <w:tcW w:w="5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污染类型</w:t>
                  </w:r>
                </w:p>
              </w:tc>
              <w:tc>
                <w:tcPr>
                  <w:tcW w:w="32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污染防治措施</w:t>
                  </w:r>
                </w:p>
              </w:tc>
              <w:tc>
                <w:tcPr>
                  <w:tcW w:w="81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eastAsia="zh-CN"/>
                    </w:rPr>
                    <w:t>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3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56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废水</w:t>
                  </w:r>
                </w:p>
              </w:tc>
              <w:tc>
                <w:tcPr>
                  <w:tcW w:w="32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生产车间内自建分质分流污水管道</w:t>
                  </w:r>
                </w:p>
              </w:tc>
              <w:tc>
                <w:tcPr>
                  <w:tcW w:w="81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3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w:t>
                  </w:r>
                </w:p>
              </w:tc>
              <w:tc>
                <w:tcPr>
                  <w:tcW w:w="56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p>
              </w:tc>
              <w:tc>
                <w:tcPr>
                  <w:tcW w:w="32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生产废水委托电镀中心污水处理厂处理</w:t>
                  </w:r>
                </w:p>
              </w:tc>
              <w:tc>
                <w:tcPr>
                  <w:tcW w:w="81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3</w:t>
                  </w:r>
                  <w:r>
                    <w:rPr>
                      <w:rFonts w:hint="default" w:ascii="Times New Roman" w:hAnsi="Times New Roman" w:eastAsia="宋体" w:cs="Times New Roman"/>
                      <w:kern w:val="0"/>
                      <w:sz w:val="21"/>
                      <w:szCs w:val="21"/>
                    </w:rPr>
                    <w:t>0（每年）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3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3</w:t>
                  </w:r>
                </w:p>
              </w:tc>
              <w:tc>
                <w:tcPr>
                  <w:tcW w:w="56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p>
              </w:tc>
              <w:tc>
                <w:tcPr>
                  <w:tcW w:w="32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生活污水和纯水制备浓水委托宁国市经济技术开发区污水处理厂处理。</w:t>
                  </w:r>
                </w:p>
              </w:tc>
              <w:tc>
                <w:tcPr>
                  <w:tcW w:w="81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5（每年）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3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val="en-US" w:eastAsia="zh-CN"/>
                    </w:rPr>
                    <w:t>4</w:t>
                  </w:r>
                </w:p>
              </w:tc>
              <w:tc>
                <w:tcPr>
                  <w:tcW w:w="56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废气</w:t>
                  </w:r>
                </w:p>
              </w:tc>
              <w:tc>
                <w:tcPr>
                  <w:tcW w:w="32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4</w:t>
                  </w:r>
                  <w:r>
                    <w:rPr>
                      <w:rFonts w:hint="default" w:ascii="Times New Roman" w:hAnsi="Times New Roman" w:eastAsia="宋体" w:cs="Times New Roman"/>
                      <w:kern w:val="0"/>
                      <w:sz w:val="21"/>
                      <w:szCs w:val="21"/>
                    </w:rPr>
                    <w:t>套全密闭罩+顶吸系统+侧吸系统</w:t>
                  </w:r>
                </w:p>
              </w:tc>
              <w:tc>
                <w:tcPr>
                  <w:tcW w:w="81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3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val="en-US" w:eastAsia="zh-CN"/>
                    </w:rPr>
                    <w:t>5</w:t>
                  </w:r>
                </w:p>
              </w:tc>
              <w:tc>
                <w:tcPr>
                  <w:tcW w:w="56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p>
              </w:tc>
              <w:tc>
                <w:tcPr>
                  <w:tcW w:w="32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7</w:t>
                  </w:r>
                  <w:r>
                    <w:rPr>
                      <w:rFonts w:hint="default" w:ascii="Times New Roman" w:hAnsi="Times New Roman" w:eastAsia="宋体" w:cs="Times New Roman"/>
                      <w:kern w:val="0"/>
                      <w:sz w:val="21"/>
                      <w:szCs w:val="21"/>
                    </w:rPr>
                    <w:t>座酸性废气喷淋吸收塔+</w:t>
                  </w:r>
                  <w:r>
                    <w:rPr>
                      <w:rFonts w:hint="default" w:ascii="Times New Roman" w:hAnsi="Times New Roman" w:eastAsia="宋体" w:cs="Times New Roman"/>
                      <w:kern w:val="0"/>
                      <w:sz w:val="21"/>
                      <w:szCs w:val="21"/>
                      <w:lang w:val="en-US" w:eastAsia="zh-CN"/>
                    </w:rPr>
                    <w:t>7</w:t>
                  </w:r>
                  <w:r>
                    <w:rPr>
                      <w:rFonts w:hint="default" w:ascii="Times New Roman" w:hAnsi="Times New Roman" w:eastAsia="宋体" w:cs="Times New Roman"/>
                      <w:kern w:val="0"/>
                      <w:sz w:val="21"/>
                      <w:szCs w:val="21"/>
                    </w:rPr>
                    <w:t>根</w:t>
                  </w:r>
                  <w:r>
                    <w:rPr>
                      <w:rFonts w:hint="default" w:ascii="Times New Roman" w:hAnsi="Times New Roman" w:eastAsia="宋体" w:cs="Times New Roman"/>
                      <w:kern w:val="0"/>
                      <w:sz w:val="21"/>
                      <w:szCs w:val="21"/>
                      <w:lang w:val="en-US" w:eastAsia="zh-CN"/>
                    </w:rPr>
                    <w:t>2</w:t>
                  </w:r>
                  <w:r>
                    <w:rPr>
                      <w:rFonts w:hint="default" w:ascii="Times New Roman" w:hAnsi="Times New Roman" w:eastAsia="宋体" w:cs="Times New Roman"/>
                      <w:kern w:val="0"/>
                      <w:sz w:val="21"/>
                      <w:szCs w:val="21"/>
                    </w:rPr>
                    <w:t>5m排气筒</w:t>
                  </w:r>
                </w:p>
              </w:tc>
              <w:tc>
                <w:tcPr>
                  <w:tcW w:w="81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3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6</w:t>
                  </w:r>
                </w:p>
              </w:tc>
              <w:tc>
                <w:tcPr>
                  <w:tcW w:w="5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固废</w:t>
                  </w:r>
                </w:p>
              </w:tc>
              <w:tc>
                <w:tcPr>
                  <w:tcW w:w="32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委托危险废物资质单位转运处置</w:t>
                  </w:r>
                </w:p>
              </w:tc>
              <w:tc>
                <w:tcPr>
                  <w:tcW w:w="81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1</w:t>
                  </w:r>
                  <w:r>
                    <w:rPr>
                      <w:rFonts w:hint="eastAsia" w:ascii="Times New Roman" w:hAnsi="Times New Roman" w:eastAsia="宋体" w:cs="Times New Roman"/>
                      <w:kern w:val="0"/>
                      <w:sz w:val="21"/>
                      <w:szCs w:val="21"/>
                      <w:lang w:val="en-US" w:eastAsia="zh-CN"/>
                    </w:rPr>
                    <w:t>5</w:t>
                  </w:r>
                  <w:r>
                    <w:rPr>
                      <w:rFonts w:hint="default" w:ascii="Times New Roman" w:hAnsi="Times New Roman" w:eastAsia="宋体" w:cs="Times New Roman"/>
                      <w:kern w:val="0"/>
                      <w:sz w:val="21"/>
                      <w:szCs w:val="21"/>
                    </w:rPr>
                    <w:t>（每年）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3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7</w:t>
                  </w:r>
                </w:p>
              </w:tc>
              <w:tc>
                <w:tcPr>
                  <w:tcW w:w="5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噪声</w:t>
                  </w:r>
                </w:p>
              </w:tc>
              <w:tc>
                <w:tcPr>
                  <w:tcW w:w="32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消声设备、隔音设施等</w:t>
                  </w:r>
                </w:p>
              </w:tc>
              <w:tc>
                <w:tcPr>
                  <w:tcW w:w="81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rPr>
                  </w:pPr>
                  <w:r>
                    <w:rPr>
                      <w:rFonts w:hint="default" w:ascii="Times New Roman" w:hAnsi="Times New Roman" w:eastAsia="宋体" w:cs="Times New Roman"/>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3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8</w:t>
                  </w:r>
                </w:p>
              </w:tc>
              <w:tc>
                <w:tcPr>
                  <w:tcW w:w="56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地下水</w:t>
                  </w:r>
                </w:p>
              </w:tc>
              <w:tc>
                <w:tcPr>
                  <w:tcW w:w="32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生产车间地面加铺防渗材料措施</w:t>
                  </w:r>
                </w:p>
              </w:tc>
              <w:tc>
                <w:tcPr>
                  <w:tcW w:w="81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4" w:hRule="atLeast"/>
                <w:jc w:val="center"/>
              </w:trPr>
              <w:tc>
                <w:tcPr>
                  <w:tcW w:w="3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9</w:t>
                  </w:r>
                </w:p>
              </w:tc>
              <w:tc>
                <w:tcPr>
                  <w:tcW w:w="56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p>
              </w:tc>
              <w:tc>
                <w:tcPr>
                  <w:tcW w:w="32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制定应急预案</w:t>
                  </w:r>
                </w:p>
              </w:tc>
              <w:tc>
                <w:tcPr>
                  <w:tcW w:w="81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3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r>
                    <w:rPr>
                      <w:rFonts w:hint="default" w:ascii="Times New Roman" w:hAnsi="Times New Roman" w:eastAsia="宋体" w:cs="Times New Roman"/>
                      <w:kern w:val="0"/>
                      <w:sz w:val="21"/>
                      <w:szCs w:val="21"/>
                      <w:lang w:val="en-US" w:eastAsia="zh-CN"/>
                    </w:rPr>
                    <w:t>0</w:t>
                  </w:r>
                </w:p>
              </w:tc>
              <w:tc>
                <w:tcPr>
                  <w:tcW w:w="56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环境管理</w:t>
                  </w:r>
                </w:p>
              </w:tc>
              <w:tc>
                <w:tcPr>
                  <w:tcW w:w="32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规范设置废气处理装置永久采样孔、采样测试平台、废气污染源标识牌</w:t>
                  </w:r>
                </w:p>
              </w:tc>
              <w:tc>
                <w:tcPr>
                  <w:tcW w:w="81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3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11</w:t>
                  </w:r>
                </w:p>
              </w:tc>
              <w:tc>
                <w:tcPr>
                  <w:tcW w:w="56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p>
              </w:tc>
              <w:tc>
                <w:tcPr>
                  <w:tcW w:w="32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槽底托盘、污水管道截断阀、事故水池截止阀等风险防范措施</w:t>
                  </w:r>
                </w:p>
              </w:tc>
              <w:tc>
                <w:tcPr>
                  <w:tcW w:w="81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188"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合    计</w:t>
                  </w:r>
                </w:p>
              </w:tc>
              <w:tc>
                <w:tcPr>
                  <w:tcW w:w="81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286</w:t>
                  </w:r>
                </w:p>
              </w:tc>
            </w:tr>
          </w:tbl>
          <w:p>
            <w:pPr>
              <w:pStyle w:val="17"/>
              <w:spacing w:line="374" w:lineRule="exact"/>
              <w:ind w:left="107"/>
              <w:rPr>
                <w:rFonts w:ascii="Times New Roman" w:hAnsi="Times New Roman" w:eastAsia="宋体" w:cs="Times New Roman"/>
              </w:rPr>
            </w:pPr>
          </w:p>
        </w:tc>
      </w:tr>
    </w:tbl>
    <w:p>
      <w:pPr>
        <w:spacing w:line="374" w:lineRule="exact"/>
        <w:rPr>
          <w:rFonts w:ascii="Times New Roman" w:hAnsi="Times New Roman" w:eastAsia="宋体" w:cs="Times New Roman"/>
        </w:rPr>
        <w:sectPr>
          <w:pgSz w:w="11910" w:h="16840"/>
          <w:pgMar w:top="1440" w:right="1803" w:bottom="1440" w:left="1803" w:header="863" w:footer="996" w:gutter="0"/>
          <w:pgBorders>
            <w:top w:val="none" w:sz="0" w:space="0"/>
            <w:left w:val="none" w:sz="0" w:space="0"/>
            <w:bottom w:val="none" w:sz="0" w:space="0"/>
            <w:right w:val="none" w:sz="0" w:space="0"/>
          </w:pgBorders>
          <w:cols w:space="720" w:num="1"/>
        </w:sectPr>
      </w:pPr>
    </w:p>
    <w:tbl>
      <w:tblPr>
        <w:tblStyle w:val="1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3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06" w:hRule="atLeast"/>
        </w:trPr>
        <w:tc>
          <w:tcPr>
            <w:tcW w:w="5000" w:type="pct"/>
          </w:tcPr>
          <w:p>
            <w:pPr>
              <w:pStyle w:val="17"/>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主要污染源、</w:t>
            </w:r>
            <w:r>
              <w:rPr>
                <w:rFonts w:ascii="Times New Roman" w:hAnsi="Times New Roman" w:eastAsia="宋体" w:cs="Times New Roman"/>
                <w:sz w:val="24"/>
                <w:szCs w:val="24"/>
              </w:rPr>
              <w:t>污染物</w:t>
            </w:r>
            <w:r>
              <w:rPr>
                <w:rFonts w:hint="eastAsia" w:ascii="Times New Roman" w:hAnsi="Times New Roman" w:eastAsia="宋体" w:cs="Times New Roman"/>
                <w:sz w:val="24"/>
                <w:szCs w:val="24"/>
                <w:lang w:eastAsia="zh-CN"/>
              </w:rPr>
              <w:t>处理和</w:t>
            </w:r>
            <w:r>
              <w:rPr>
                <w:rFonts w:ascii="Times New Roman" w:hAnsi="Times New Roman" w:eastAsia="宋体" w:cs="Times New Roman"/>
                <w:sz w:val="24"/>
                <w:szCs w:val="24"/>
              </w:rPr>
              <w:t>排放</w:t>
            </w:r>
          </w:p>
          <w:p>
            <w:pPr>
              <w:pStyle w:val="17"/>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一、一般固废</w:t>
            </w:r>
          </w:p>
          <w:p>
            <w:pPr>
              <w:pStyle w:val="17"/>
              <w:spacing w:line="360" w:lineRule="auto"/>
              <w:ind w:firstLine="480" w:firstLineChars="200"/>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eastAsia="zh-CN"/>
              </w:rPr>
              <w:t>本</w:t>
            </w:r>
            <w:r>
              <w:rPr>
                <w:rFonts w:hint="default" w:ascii="Times New Roman" w:hAnsi="Times New Roman" w:eastAsia="宋体" w:cs="Times New Roman"/>
                <w:color w:val="000000"/>
                <w:sz w:val="24"/>
                <w:szCs w:val="24"/>
              </w:rPr>
              <w:t>项目生产过程中一般工业固体废物为不合格产品</w:t>
            </w:r>
            <w:r>
              <w:rPr>
                <w:rFonts w:hint="eastAsia" w:ascii="Times New Roman" w:hAnsi="Times New Roman" w:eastAsia="宋体" w:cs="Times New Roman"/>
                <w:color w:val="000000"/>
                <w:sz w:val="24"/>
                <w:szCs w:val="24"/>
                <w:lang w:eastAsia="zh-CN"/>
              </w:rPr>
              <w:t>和纯水制备废树脂。</w:t>
            </w:r>
            <w:r>
              <w:rPr>
                <w:rFonts w:hint="default" w:ascii="Times New Roman" w:hAnsi="Times New Roman" w:eastAsia="宋体" w:cs="Times New Roman"/>
                <w:color w:val="000000"/>
                <w:sz w:val="24"/>
                <w:szCs w:val="24"/>
              </w:rPr>
              <w:t>不合格品年产生量约为</w:t>
            </w:r>
            <w:r>
              <w:rPr>
                <w:rFonts w:hint="eastAsia" w:ascii="Times New Roman" w:hAnsi="Times New Roman" w:eastAsia="宋体" w:cs="Times New Roman"/>
                <w:color w:val="000000"/>
                <w:sz w:val="24"/>
                <w:szCs w:val="24"/>
                <w:lang w:val="en-US" w:eastAsia="zh-CN"/>
              </w:rPr>
              <w:t>0.</w:t>
            </w:r>
            <w:r>
              <w:rPr>
                <w:rFonts w:hint="default" w:ascii="Times New Roman" w:hAnsi="Times New Roman" w:eastAsia="宋体" w:cs="Times New Roman"/>
                <w:color w:val="000000"/>
                <w:sz w:val="24"/>
                <w:szCs w:val="24"/>
              </w:rPr>
              <w:t>5t/a。不合格品</w:t>
            </w:r>
            <w:r>
              <w:rPr>
                <w:rFonts w:hint="eastAsia" w:ascii="Times New Roman" w:hAnsi="Times New Roman" w:eastAsia="宋体" w:cs="Times New Roman"/>
                <w:color w:val="000000"/>
                <w:sz w:val="24"/>
                <w:szCs w:val="24"/>
                <w:lang w:eastAsia="zh-CN"/>
              </w:rPr>
              <w:t>退镀后</w:t>
            </w:r>
            <w:r>
              <w:rPr>
                <w:rFonts w:hint="default" w:ascii="Times New Roman" w:hAnsi="Times New Roman" w:eastAsia="宋体" w:cs="Times New Roman"/>
                <w:color w:val="000000"/>
                <w:sz w:val="24"/>
                <w:szCs w:val="24"/>
              </w:rPr>
              <w:t>重新上镀处理，不外排</w:t>
            </w:r>
            <w:r>
              <w:rPr>
                <w:rFonts w:hint="eastAsia" w:ascii="Times New Roman" w:hAnsi="Times New Roman" w:eastAsia="宋体" w:cs="Times New Roman"/>
                <w:color w:val="000000"/>
                <w:sz w:val="24"/>
                <w:szCs w:val="24"/>
                <w:lang w:eastAsia="zh-CN"/>
              </w:rPr>
              <w:t>。纯水制备废树脂产生量为</w:t>
            </w:r>
            <w:r>
              <w:rPr>
                <w:rFonts w:hint="eastAsia" w:ascii="Times New Roman" w:hAnsi="Times New Roman" w:eastAsia="宋体" w:cs="Times New Roman"/>
                <w:color w:val="000000"/>
                <w:sz w:val="24"/>
                <w:szCs w:val="24"/>
                <w:lang w:val="en-US" w:eastAsia="zh-CN"/>
              </w:rPr>
              <w:t>0.3t/a</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sz w:val="24"/>
                <w:szCs w:val="24"/>
                <w:lang w:val="en-US" w:eastAsia="zh-CN"/>
              </w:rPr>
              <w:t>厂家回收，不外排。已设置一般工业固废暂存场所，符合国家环境保护标准。</w:t>
            </w:r>
          </w:p>
          <w:p>
            <w:pPr>
              <w:adjustRightInd w:val="0"/>
              <w:snapToGrid w:val="0"/>
              <w:spacing w:line="36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w:t>
            </w:r>
            <w:r>
              <w:rPr>
                <w:rFonts w:hint="eastAsia" w:ascii="Times New Roman" w:hAnsi="Times New Roman" w:eastAsia="宋体" w:cs="Times New Roman"/>
                <w:b/>
                <w:bCs/>
                <w:sz w:val="24"/>
                <w:szCs w:val="24"/>
                <w:lang w:val="en-US" w:eastAsia="zh-CN"/>
              </w:rPr>
              <w:t>5</w:t>
            </w:r>
            <w:r>
              <w:rPr>
                <w:rFonts w:hint="default" w:ascii="Times New Roman" w:hAnsi="Times New Roman" w:eastAsia="宋体" w:cs="Times New Roman"/>
                <w:b/>
                <w:bCs/>
                <w:sz w:val="24"/>
                <w:szCs w:val="24"/>
                <w:lang w:val="en-US" w:eastAsia="zh-CN"/>
              </w:rPr>
              <w:t>-</w:t>
            </w:r>
            <w:r>
              <w:rPr>
                <w:rFonts w:hint="eastAsia" w:ascii="Times New Roman" w:hAnsi="Times New Roman" w:eastAsia="宋体" w:cs="Times New Roman"/>
                <w:b/>
                <w:bCs/>
                <w:sz w:val="24"/>
                <w:szCs w:val="24"/>
                <w:lang w:val="en-US" w:eastAsia="zh-CN"/>
              </w:rPr>
              <w:t>1</w:t>
            </w:r>
            <w:r>
              <w:rPr>
                <w:rFonts w:hint="eastAsia" w:cs="Times New Roman"/>
                <w:b/>
                <w:bCs/>
                <w:sz w:val="24"/>
                <w:szCs w:val="24"/>
                <w:lang w:val="en-US" w:eastAsia="zh-CN"/>
              </w:rPr>
              <w:t xml:space="preserve"> </w:t>
            </w:r>
            <w:r>
              <w:rPr>
                <w:rFonts w:hint="default" w:ascii="Times New Roman" w:hAnsi="Times New Roman" w:eastAsia="宋体" w:cs="Times New Roman"/>
                <w:b/>
                <w:bCs/>
                <w:sz w:val="24"/>
                <w:szCs w:val="24"/>
              </w:rPr>
              <w:t xml:space="preserve">本项目一般固体废弃物产生和排放情况一览表 </w:t>
            </w:r>
          </w:p>
          <w:tbl>
            <w:tblPr>
              <w:tblStyle w:val="13"/>
              <w:tblW w:w="48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
              <w:gridCol w:w="1066"/>
              <w:gridCol w:w="902"/>
              <w:gridCol w:w="570"/>
              <w:gridCol w:w="902"/>
              <w:gridCol w:w="1232"/>
              <w:gridCol w:w="902"/>
              <w:gridCol w:w="744"/>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49"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序号</w:t>
                  </w:r>
                </w:p>
              </w:tc>
              <w:tc>
                <w:tcPr>
                  <w:tcW w:w="656"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名称</w:t>
                  </w:r>
                </w:p>
              </w:tc>
              <w:tc>
                <w:tcPr>
                  <w:tcW w:w="5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产生工序</w:t>
                  </w:r>
                </w:p>
              </w:tc>
              <w:tc>
                <w:tcPr>
                  <w:tcW w:w="35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形态</w:t>
                  </w:r>
                </w:p>
              </w:tc>
              <w:tc>
                <w:tcPr>
                  <w:tcW w:w="5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主要成分</w:t>
                  </w:r>
                </w:p>
              </w:tc>
              <w:tc>
                <w:tcPr>
                  <w:tcW w:w="75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种类</w:t>
                  </w:r>
                </w:p>
              </w:tc>
              <w:tc>
                <w:tcPr>
                  <w:tcW w:w="5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产生周期</w:t>
                  </w:r>
                </w:p>
              </w:tc>
              <w:tc>
                <w:tcPr>
                  <w:tcW w:w="45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产生量</w:t>
                  </w:r>
                </w:p>
              </w:tc>
              <w:tc>
                <w:tcPr>
                  <w:tcW w:w="75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处理处置措施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349"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656"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不合格产品</w:t>
                  </w:r>
                </w:p>
              </w:tc>
              <w:tc>
                <w:tcPr>
                  <w:tcW w:w="5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产品检验</w:t>
                  </w:r>
                </w:p>
              </w:tc>
              <w:tc>
                <w:tcPr>
                  <w:tcW w:w="35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固</w:t>
                  </w:r>
                  <w:r>
                    <w:rPr>
                      <w:rFonts w:hint="eastAsia" w:ascii="Times New Roman" w:hAnsi="Times New Roman" w:eastAsia="宋体" w:cs="Times New Roman"/>
                      <w:kern w:val="0"/>
                      <w:sz w:val="21"/>
                      <w:szCs w:val="21"/>
                      <w:lang w:eastAsia="zh-CN"/>
                    </w:rPr>
                    <w:t>态</w:t>
                  </w:r>
                </w:p>
              </w:tc>
              <w:tc>
                <w:tcPr>
                  <w:tcW w:w="5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75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一般工业固废</w:t>
                  </w:r>
                </w:p>
              </w:tc>
              <w:tc>
                <w:tcPr>
                  <w:tcW w:w="5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c>
                <w:tcPr>
                  <w:tcW w:w="45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lang w:val="en-US" w:eastAsia="zh-CN"/>
                    </w:rPr>
                    <w:t>0.5</w:t>
                  </w:r>
                  <w:r>
                    <w:rPr>
                      <w:rFonts w:hint="default" w:ascii="Times New Roman" w:hAnsi="Times New Roman" w:eastAsia="宋体" w:cs="Times New Roman"/>
                      <w:kern w:val="0"/>
                      <w:sz w:val="21"/>
                      <w:szCs w:val="21"/>
                    </w:rPr>
                    <w:t xml:space="preserve"> t/a</w:t>
                  </w:r>
                </w:p>
              </w:tc>
              <w:tc>
                <w:tcPr>
                  <w:tcW w:w="75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重新上镀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349"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w:t>
                  </w:r>
                </w:p>
              </w:tc>
              <w:tc>
                <w:tcPr>
                  <w:tcW w:w="656"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lang w:eastAsia="zh-CN"/>
                    </w:rPr>
                    <w:t>纯水制备废树脂</w:t>
                  </w:r>
                </w:p>
              </w:tc>
              <w:tc>
                <w:tcPr>
                  <w:tcW w:w="5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eastAsia="zh-CN"/>
                    </w:rPr>
                    <w:t>纯水制备</w:t>
                  </w:r>
                </w:p>
              </w:tc>
              <w:tc>
                <w:tcPr>
                  <w:tcW w:w="35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rPr>
                    <w:t>固</w:t>
                  </w:r>
                  <w:r>
                    <w:rPr>
                      <w:rFonts w:hint="eastAsia" w:ascii="Times New Roman" w:hAnsi="Times New Roman" w:eastAsia="宋体" w:cs="Times New Roman"/>
                      <w:kern w:val="0"/>
                      <w:sz w:val="21"/>
                      <w:szCs w:val="21"/>
                      <w:lang w:eastAsia="zh-CN"/>
                    </w:rPr>
                    <w:t>态</w:t>
                  </w:r>
                </w:p>
              </w:tc>
              <w:tc>
                <w:tcPr>
                  <w:tcW w:w="5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75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一般工业固废</w:t>
                  </w:r>
                </w:p>
              </w:tc>
              <w:tc>
                <w:tcPr>
                  <w:tcW w:w="55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45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0.3t/a</w:t>
                  </w:r>
                </w:p>
              </w:tc>
              <w:tc>
                <w:tcPr>
                  <w:tcW w:w="758"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lang w:val="en-US" w:eastAsia="zh-CN"/>
                    </w:rPr>
                    <w:t>厂家回收</w:t>
                  </w:r>
                </w:p>
              </w:tc>
            </w:tr>
          </w:tbl>
          <w:p>
            <w:pPr>
              <w:pStyle w:val="17"/>
              <w:spacing w:line="360" w:lineRule="auto"/>
              <w:ind w:firstLine="480" w:firstLineChars="200"/>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二、生活垃圾</w:t>
            </w:r>
          </w:p>
          <w:p>
            <w:pPr>
              <w:pStyle w:val="17"/>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color w:val="000000"/>
                <w:sz w:val="24"/>
                <w:szCs w:val="24"/>
                <w:lang w:eastAsia="zh-CN"/>
              </w:rPr>
              <w:t>本</w:t>
            </w:r>
            <w:r>
              <w:rPr>
                <w:rFonts w:hint="default" w:ascii="Times New Roman" w:hAnsi="Times New Roman" w:cs="Times New Roman"/>
                <w:sz w:val="24"/>
                <w:szCs w:val="24"/>
              </w:rPr>
              <w:t>项目生活垃圾产生量约为</w:t>
            </w:r>
            <w:r>
              <w:rPr>
                <w:rFonts w:hint="eastAsia" w:ascii="Times New Roman" w:hAnsi="Times New Roman" w:eastAsia="宋体" w:cs="Times New Roman"/>
                <w:sz w:val="24"/>
                <w:szCs w:val="24"/>
                <w:lang w:val="en-US" w:eastAsia="zh-CN"/>
              </w:rPr>
              <w:t>6</w:t>
            </w:r>
            <w:r>
              <w:rPr>
                <w:rFonts w:hint="default" w:ascii="Times New Roman" w:hAnsi="Times New Roman" w:cs="Times New Roman"/>
                <w:sz w:val="24"/>
                <w:szCs w:val="24"/>
              </w:rPr>
              <w:t>t/a，委托环卫部门</w:t>
            </w:r>
            <w:r>
              <w:rPr>
                <w:rFonts w:hint="eastAsia" w:ascii="Times New Roman" w:hAnsi="Times New Roman" w:eastAsia="宋体" w:cs="Times New Roman"/>
                <w:sz w:val="24"/>
                <w:szCs w:val="24"/>
                <w:lang w:eastAsia="zh-CN"/>
              </w:rPr>
              <w:t>统一</w:t>
            </w:r>
            <w:r>
              <w:rPr>
                <w:rFonts w:hint="default" w:ascii="Times New Roman" w:hAnsi="Times New Roman" w:cs="Times New Roman"/>
                <w:sz w:val="24"/>
                <w:szCs w:val="24"/>
              </w:rPr>
              <w:t>清运处理</w:t>
            </w:r>
            <w:r>
              <w:rPr>
                <w:rFonts w:hint="eastAsia" w:ascii="Times New Roman" w:hAnsi="Times New Roman" w:eastAsia="宋体" w:cs="Times New Roman"/>
                <w:sz w:val="24"/>
                <w:szCs w:val="24"/>
                <w:lang w:eastAsia="zh-CN"/>
              </w:rPr>
              <w:t>。</w:t>
            </w:r>
          </w:p>
          <w:p>
            <w:pPr>
              <w:spacing w:line="360" w:lineRule="auto"/>
              <w:ind w:firstLine="482" w:firstLineChars="200"/>
              <w:jc w:val="center"/>
              <w:rPr>
                <w:rFonts w:hint="default" w:ascii="Times New Roman" w:hAnsi="Times New Roman" w:eastAsia="黑体" w:cs="Times New Roman"/>
                <w:sz w:val="24"/>
                <w:szCs w:val="24"/>
              </w:rPr>
            </w:pPr>
            <w:r>
              <w:rPr>
                <w:rFonts w:hint="default" w:ascii="Times New Roman" w:hAnsi="Times New Roman" w:eastAsia="宋体" w:cs="Times New Roman"/>
                <w:b/>
                <w:bCs/>
                <w:sz w:val="24"/>
                <w:szCs w:val="24"/>
              </w:rPr>
              <w:t>表</w:t>
            </w:r>
            <w:r>
              <w:rPr>
                <w:rFonts w:hint="eastAsia" w:ascii="Times New Roman" w:hAnsi="Times New Roman" w:eastAsia="宋体" w:cs="Times New Roman"/>
                <w:b/>
                <w:bCs/>
                <w:sz w:val="24"/>
                <w:szCs w:val="24"/>
                <w:lang w:val="en-US" w:eastAsia="zh-CN"/>
              </w:rPr>
              <w:t>5</w:t>
            </w:r>
            <w:r>
              <w:rPr>
                <w:rFonts w:hint="default" w:ascii="Times New Roman" w:hAnsi="Times New Roman" w:eastAsia="宋体" w:cs="Times New Roman"/>
                <w:b/>
                <w:bCs/>
                <w:sz w:val="24"/>
                <w:szCs w:val="24"/>
                <w:lang w:val="en-US" w:eastAsia="zh-CN"/>
              </w:rPr>
              <w:t>-</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 xml:space="preserve">项目生活垃圾产生处置措施情况一览表 </w:t>
            </w:r>
          </w:p>
          <w:tbl>
            <w:tblPr>
              <w:tblStyle w:val="1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9"/>
              <w:gridCol w:w="508"/>
              <w:gridCol w:w="893"/>
              <w:gridCol w:w="631"/>
              <w:gridCol w:w="500"/>
              <w:gridCol w:w="1546"/>
              <w:gridCol w:w="1030"/>
              <w:gridCol w:w="1025"/>
              <w:gridCol w:w="774"/>
              <w:gridCol w:w="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01"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序号</w:t>
                  </w:r>
                </w:p>
              </w:tc>
              <w:tc>
                <w:tcPr>
                  <w:tcW w:w="306"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来源</w:t>
                  </w:r>
                </w:p>
              </w:tc>
              <w:tc>
                <w:tcPr>
                  <w:tcW w:w="538"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名称</w:t>
                  </w:r>
                </w:p>
              </w:tc>
              <w:tc>
                <w:tcPr>
                  <w:tcW w:w="380"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产生</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工序</w:t>
                  </w:r>
                </w:p>
              </w:tc>
              <w:tc>
                <w:tcPr>
                  <w:tcW w:w="301"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形态</w:t>
                  </w:r>
                </w:p>
              </w:tc>
              <w:tc>
                <w:tcPr>
                  <w:tcW w:w="931"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主要成分</w:t>
                  </w:r>
                </w:p>
              </w:tc>
              <w:tc>
                <w:tcPr>
                  <w:tcW w:w="620"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种类</w:t>
                  </w:r>
                </w:p>
              </w:tc>
              <w:tc>
                <w:tcPr>
                  <w:tcW w:w="617"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产生周期</w:t>
                  </w:r>
                </w:p>
              </w:tc>
              <w:tc>
                <w:tcPr>
                  <w:tcW w:w="466"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产生量</w:t>
                  </w:r>
                </w:p>
              </w:tc>
              <w:tc>
                <w:tcPr>
                  <w:tcW w:w="534" w:type="pct"/>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处理处置措施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1</w:t>
                  </w:r>
                </w:p>
              </w:tc>
              <w:tc>
                <w:tcPr>
                  <w:tcW w:w="3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办公生活</w:t>
                  </w:r>
                </w:p>
              </w:tc>
              <w:tc>
                <w:tcPr>
                  <w:tcW w:w="53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生活垃圾</w:t>
                  </w:r>
                </w:p>
              </w:tc>
              <w:tc>
                <w:tcPr>
                  <w:tcW w:w="38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办公区</w:t>
                  </w:r>
                </w:p>
              </w:tc>
              <w:tc>
                <w:tcPr>
                  <w:tcW w:w="3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固态</w:t>
                  </w:r>
                </w:p>
              </w:tc>
              <w:tc>
                <w:tcPr>
                  <w:tcW w:w="9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生活垃圾</w:t>
                  </w:r>
                </w:p>
              </w:tc>
              <w:tc>
                <w:tcPr>
                  <w:tcW w:w="62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生活垃圾</w:t>
                  </w:r>
                </w:p>
              </w:tc>
              <w:tc>
                <w:tcPr>
                  <w:tcW w:w="6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每天</w:t>
                  </w:r>
                </w:p>
              </w:tc>
              <w:tc>
                <w:tcPr>
                  <w:tcW w:w="4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eastAsia" w:ascii="Times New Roman" w:hAnsi="Times New Roman" w:cs="Times New Roman"/>
                      <w:kern w:val="0"/>
                      <w:sz w:val="21"/>
                      <w:szCs w:val="21"/>
                      <w:lang w:val="en-US" w:eastAsia="zh-CN"/>
                    </w:rPr>
                    <w:t>6</w:t>
                  </w:r>
                  <w:r>
                    <w:rPr>
                      <w:rFonts w:hint="default" w:ascii="Times New Roman" w:hAnsi="Times New Roman" w:cs="Times New Roman"/>
                      <w:kern w:val="0"/>
                      <w:sz w:val="21"/>
                      <w:szCs w:val="21"/>
                    </w:rPr>
                    <w:t>t/a</w:t>
                  </w:r>
                </w:p>
              </w:tc>
              <w:tc>
                <w:tcPr>
                  <w:tcW w:w="53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环卫部门处理</w:t>
                  </w:r>
                </w:p>
              </w:tc>
            </w:tr>
          </w:tbl>
          <w:p>
            <w:pPr>
              <w:pStyle w:val="17"/>
              <w:spacing w:line="360" w:lineRule="auto"/>
              <w:ind w:firstLine="480" w:firstLineChars="200"/>
              <w:rPr>
                <w:rFonts w:hint="eastAsia" w:ascii="Times New Roman" w:hAnsi="Times New Roman" w:eastAsia="宋体" w:cs="Times New Roman"/>
                <w:sz w:val="24"/>
                <w:szCs w:val="24"/>
                <w:lang w:eastAsia="zh-CN"/>
              </w:rPr>
            </w:pPr>
          </w:p>
          <w:p>
            <w:pPr>
              <w:pStyle w:val="17"/>
              <w:spacing w:line="360" w:lineRule="auto"/>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drawing>
                <wp:inline distT="0" distB="0" distL="114300" distR="114300">
                  <wp:extent cx="5160010" cy="3174365"/>
                  <wp:effectExtent l="0" t="0" r="2540" b="6985"/>
                  <wp:docPr id="7" name="图片 7" descr="1655d66e524ab086b398b01ba221a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55d66e524ab086b398b01ba221a49"/>
                          <pic:cNvPicPr>
                            <a:picLocks noChangeAspect="1"/>
                          </pic:cNvPicPr>
                        </pic:nvPicPr>
                        <pic:blipFill>
                          <a:blip r:embed="rId10"/>
                          <a:srcRect l="36865" t="48226"/>
                          <a:stretch>
                            <a:fillRect/>
                          </a:stretch>
                        </pic:blipFill>
                        <pic:spPr>
                          <a:xfrm>
                            <a:off x="0" y="0"/>
                            <a:ext cx="5160010" cy="3174365"/>
                          </a:xfrm>
                          <a:prstGeom prst="rect">
                            <a:avLst/>
                          </a:prstGeom>
                        </pic:spPr>
                      </pic:pic>
                    </a:graphicData>
                  </a:graphic>
                </wp:inline>
              </w:drawing>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center"/>
              <w:textAlignment w:val="auto"/>
              <w:outlineLvl w:val="9"/>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图5-1 生活垃圾收集点</w:t>
            </w:r>
          </w:p>
          <w:p>
            <w:pPr>
              <w:pStyle w:val="17"/>
              <w:spacing w:line="360" w:lineRule="auto"/>
              <w:ind w:firstLine="480" w:firstLineChars="200"/>
              <w:rPr>
                <w:rFonts w:hint="eastAsia" w:ascii="Times New Roman" w:hAnsi="Times New Roman" w:eastAsia="宋体" w:cs="Times New Roman"/>
                <w:sz w:val="24"/>
                <w:szCs w:val="24"/>
                <w:lang w:eastAsia="zh-CN"/>
              </w:rPr>
            </w:pPr>
          </w:p>
          <w:p>
            <w:pPr>
              <w:pStyle w:val="17"/>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三</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危险废物</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textAlignment w:val="auto"/>
              <w:outlineLvl w:val="9"/>
              <w:rPr>
                <w:rFonts w:hint="eastAsia" w:ascii="Times New Roman" w:hAnsi="Times New Roman" w:eastAsia="宋体" w:cs="Times New Roman"/>
                <w:b w:val="0"/>
                <w:bCs w:val="0"/>
                <w:color w:val="FF0000"/>
                <w:sz w:val="24"/>
                <w:szCs w:val="24"/>
                <w:lang w:val="en-US" w:eastAsia="zh-CN"/>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1、钝化槽废槽液：危险废物变动情况补充报告中拟增加一台移动式钝化液再生设备，对需要更换钝化液的生产线进行钝化液再生，使其能够满足重复使用的功能</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经调查，本项目在实际生产过程中钝化槽废槽液产生量为1t/a。</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textAlignment w:val="auto"/>
              <w:outlineLvl w:val="9"/>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20" w:firstLineChars="200"/>
              <w:jc w:val="center"/>
              <w:textAlignment w:val="auto"/>
              <w:outlineLvl w:val="9"/>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drawing>
                <wp:inline distT="0" distB="0" distL="114300" distR="114300">
                  <wp:extent cx="3705860" cy="6371590"/>
                  <wp:effectExtent l="0" t="0" r="8890" b="1016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1"/>
                          <a:stretch>
                            <a:fillRect/>
                          </a:stretch>
                        </pic:blipFill>
                        <pic:spPr>
                          <a:xfrm>
                            <a:off x="0" y="0"/>
                            <a:ext cx="3705860" cy="6371590"/>
                          </a:xfrm>
                          <a:prstGeom prst="rect">
                            <a:avLst/>
                          </a:prstGeom>
                          <a:noFill/>
                          <a:ln>
                            <a:noFill/>
                          </a:ln>
                        </pic:spPr>
                      </pic:pic>
                    </a:graphicData>
                  </a:graphic>
                </wp:inline>
              </w:drawing>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2650" w:firstLineChars="1100"/>
              <w:textAlignment w:val="auto"/>
              <w:outlineLvl w:val="9"/>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图5-2移动式钝化液再生设备</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textAlignment w:val="auto"/>
              <w:outlineLvl w:val="9"/>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2、废机油：实际生产中本项目无废机油产生。</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textAlignment w:val="auto"/>
              <w:outlineLvl w:val="9"/>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3、封孔槽液废过滤芯：封闭工序为了弥补镀层缺陷，提高镀层防护性能。封闭槽液不更换，定期补充添加。实际运行中封孔槽液并不需要过滤处理，所以无废过滤芯及滤渣产生。</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textAlignment w:val="auto"/>
              <w:outlineLvl w:val="9"/>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bCs/>
                <w:color w:val="000000" w:themeColor="text1"/>
                <w:sz w:val="24"/>
                <w:szCs w:val="24"/>
                <w:lang w:eastAsia="zh-CN"/>
                <w14:textFill>
                  <w14:solidFill>
                    <w14:schemeClr w14:val="tx1"/>
                  </w14:solidFill>
                </w14:textFill>
              </w:rPr>
              <w:t>钝化液再生系统废树脂：新增钝化液再生装置中使用的树脂吸附饱和后，放入退镀槽内进行再生，再生后重复</w:t>
            </w:r>
            <w:r>
              <w:rPr>
                <w:rFonts w:hint="default" w:ascii="Times New Roman" w:hAnsi="Times New Roman" w:eastAsia="宋体" w:cs="Times New Roman"/>
                <w:bCs/>
                <w:color w:val="000000" w:themeColor="text1"/>
                <w:sz w:val="24"/>
                <w:szCs w:val="24"/>
                <w:lang w:eastAsia="zh-CN"/>
                <w14:textFill>
                  <w14:solidFill>
                    <w14:schemeClr w14:val="tx1"/>
                  </w14:solidFill>
                </w14:textFill>
              </w:rPr>
              <w:t>使用，该部分树脂报废期限为</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2年，</w:t>
            </w:r>
            <w:r>
              <w:rPr>
                <w:rFonts w:hint="default" w:ascii="Times New Roman" w:hAnsi="Times New Roman" w:eastAsia="宋体" w:cs="Times New Roman"/>
                <w:bCs/>
                <w:color w:val="000000" w:themeColor="text1"/>
                <w:sz w:val="24"/>
                <w:szCs w:val="24"/>
                <w:lang w:eastAsia="zh-CN"/>
                <w14:textFill>
                  <w14:solidFill>
                    <w14:schemeClr w14:val="tx1"/>
                  </w14:solidFill>
                </w14:textFill>
              </w:rPr>
              <w:t>产生量为</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0.1t/a</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w:t>
            </w:r>
          </w:p>
          <w:p>
            <w:pPr>
              <w:adjustRightInd w:val="0"/>
              <w:snapToGrid w:val="0"/>
              <w:jc w:val="center"/>
              <w:rPr>
                <w:rFonts w:hint="default"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b/>
                <w:color w:val="000000" w:themeColor="text1"/>
                <w:sz w:val="24"/>
                <w:szCs w:val="24"/>
                <w:lang w:eastAsia="zh-CN"/>
                <w14:textFill>
                  <w14:solidFill>
                    <w14:schemeClr w14:val="tx1"/>
                  </w14:solidFill>
                </w14:textFill>
              </w:rPr>
              <w:t>表</w:t>
            </w:r>
            <w:r>
              <w:rPr>
                <w:rFonts w:hint="eastAsia" w:ascii="Times New Roman" w:hAnsi="Times New Roman" w:cs="Times New Roman"/>
                <w:b/>
                <w:color w:val="000000" w:themeColor="text1"/>
                <w:sz w:val="24"/>
                <w:szCs w:val="24"/>
                <w:lang w:val="en-US" w:eastAsia="zh-CN"/>
                <w14:textFill>
                  <w14:solidFill>
                    <w14:schemeClr w14:val="tx1"/>
                  </w14:solidFill>
                </w14:textFill>
              </w:rPr>
              <w:t xml:space="preserve">5-3 </w:t>
            </w:r>
            <w:r>
              <w:rPr>
                <w:rFonts w:hint="eastAsia" w:ascii="Times New Roman" w:hAnsi="Times New Roman" w:cs="Times New Roman"/>
                <w:b/>
                <w:color w:val="000000" w:themeColor="text1"/>
                <w:sz w:val="24"/>
                <w:szCs w:val="24"/>
                <w:lang w:eastAsia="zh-CN"/>
                <w14:textFill>
                  <w14:solidFill>
                    <w14:schemeClr w14:val="tx1"/>
                  </w14:solidFill>
                </w14:textFill>
              </w:rPr>
              <w:t>危废产生情况</w:t>
            </w:r>
            <w:r>
              <w:rPr>
                <w:rFonts w:hint="default" w:ascii="Times New Roman" w:hAnsi="Times New Roman" w:cs="Times New Roman"/>
                <w:b/>
                <w:color w:val="000000" w:themeColor="text1"/>
                <w:sz w:val="24"/>
                <w:szCs w:val="24"/>
                <w14:textFill>
                  <w14:solidFill>
                    <w14:schemeClr w14:val="tx1"/>
                  </w14:solidFill>
                </w14:textFill>
              </w:rPr>
              <w:t>一览表</w:t>
            </w:r>
          </w:p>
          <w:tbl>
            <w:tblPr>
              <w:tblStyle w:val="13"/>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53"/>
              <w:gridCol w:w="626"/>
              <w:gridCol w:w="626"/>
              <w:gridCol w:w="626"/>
              <w:gridCol w:w="852"/>
              <w:gridCol w:w="626"/>
              <w:gridCol w:w="776"/>
              <w:gridCol w:w="1196"/>
              <w:gridCol w:w="794"/>
              <w:gridCol w:w="8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5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序号</w:t>
                  </w:r>
                </w:p>
              </w:tc>
              <w:tc>
                <w:tcPr>
                  <w:tcW w:w="574"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固体废物名称</w:t>
                  </w:r>
                </w:p>
              </w:tc>
              <w:tc>
                <w:tcPr>
                  <w:tcW w:w="377"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产生工序</w:t>
                  </w:r>
                </w:p>
              </w:tc>
              <w:tc>
                <w:tcPr>
                  <w:tcW w:w="377"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主要成分</w:t>
                  </w:r>
                </w:p>
              </w:tc>
              <w:tc>
                <w:tcPr>
                  <w:tcW w:w="377"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形态</w:t>
                  </w:r>
                </w:p>
              </w:tc>
              <w:tc>
                <w:tcPr>
                  <w:tcW w:w="51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产废周期</w:t>
                  </w:r>
                </w:p>
              </w:tc>
              <w:tc>
                <w:tcPr>
                  <w:tcW w:w="377"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危险特性</w:t>
                  </w:r>
                </w:p>
              </w:tc>
              <w:tc>
                <w:tcPr>
                  <w:tcW w:w="467"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废物类别</w:t>
                  </w:r>
                </w:p>
              </w:tc>
              <w:tc>
                <w:tcPr>
                  <w:tcW w:w="72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危废代码</w:t>
                  </w:r>
                </w:p>
              </w:tc>
              <w:tc>
                <w:tcPr>
                  <w:tcW w:w="960"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产生量（</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t/a</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5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p>
              </w:tc>
              <w:tc>
                <w:tcPr>
                  <w:tcW w:w="57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p>
              </w:tc>
              <w:tc>
                <w:tcPr>
                  <w:tcW w:w="37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p>
              </w:tc>
              <w:tc>
                <w:tcPr>
                  <w:tcW w:w="37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p>
              </w:tc>
              <w:tc>
                <w:tcPr>
                  <w:tcW w:w="37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p>
              </w:tc>
              <w:tc>
                <w:tcPr>
                  <w:tcW w:w="51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Theme="minorEastAsia"/>
                      <w:lang w:eastAsia="zh-CN"/>
                    </w:rPr>
                  </w:pPr>
                </w:p>
              </w:tc>
              <w:tc>
                <w:tcPr>
                  <w:tcW w:w="37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p>
              </w:tc>
              <w:tc>
                <w:tcPr>
                  <w:tcW w:w="46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p>
              </w:tc>
              <w:tc>
                <w:tcPr>
                  <w:tcW w:w="72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000000" w:themeColor="text1"/>
                      <w:sz w:val="21"/>
                      <w:szCs w:val="21"/>
                      <w:lang w:eastAsia="zh-CN"/>
                      <w14:textFill>
                        <w14:solidFill>
                          <w14:schemeClr w14:val="tx1"/>
                        </w14:solidFill>
                      </w14:textFill>
                    </w:rPr>
                  </w:pPr>
                </w:p>
              </w:tc>
              <w:tc>
                <w:tcPr>
                  <w:tcW w:w="47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lang w:eastAsia="zh-CN"/>
                    </w:rPr>
                    <w:t>环评量</w:t>
                  </w:r>
                </w:p>
              </w:tc>
              <w:tc>
                <w:tcPr>
                  <w:tcW w:w="4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lang w:eastAsia="zh-CN"/>
                    </w:rPr>
                    <w:t>实际量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w:t>
                  </w:r>
                </w:p>
              </w:tc>
              <w:tc>
                <w:tcPr>
                  <w:tcW w:w="57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废机油</w:t>
                  </w:r>
                </w:p>
              </w:tc>
              <w:tc>
                <w:tcPr>
                  <w:tcW w:w="3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设备维护</w:t>
                  </w:r>
                </w:p>
              </w:tc>
              <w:tc>
                <w:tcPr>
                  <w:tcW w:w="3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机油</w:t>
                  </w:r>
                </w:p>
              </w:tc>
              <w:tc>
                <w:tcPr>
                  <w:tcW w:w="3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液态</w:t>
                  </w:r>
                </w:p>
              </w:tc>
              <w:tc>
                <w:tcPr>
                  <w:tcW w:w="5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3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T，I</w:t>
                  </w:r>
                </w:p>
              </w:tc>
              <w:tc>
                <w:tcPr>
                  <w:tcW w:w="46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HW08</w:t>
                  </w:r>
                </w:p>
              </w:tc>
              <w:tc>
                <w:tcPr>
                  <w:tcW w:w="72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900-249-08</w:t>
                  </w:r>
                </w:p>
              </w:tc>
              <w:tc>
                <w:tcPr>
                  <w:tcW w:w="47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4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2</w:t>
                  </w:r>
                </w:p>
              </w:tc>
              <w:tc>
                <w:tcPr>
                  <w:tcW w:w="57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废油泥</w:t>
                  </w:r>
                </w:p>
              </w:tc>
              <w:tc>
                <w:tcPr>
                  <w:tcW w:w="3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除油</w:t>
                  </w:r>
                </w:p>
              </w:tc>
              <w:tc>
                <w:tcPr>
                  <w:tcW w:w="3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油水混合物</w:t>
                  </w:r>
                </w:p>
              </w:tc>
              <w:tc>
                <w:tcPr>
                  <w:tcW w:w="3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半固态</w:t>
                  </w:r>
                </w:p>
              </w:tc>
              <w:tc>
                <w:tcPr>
                  <w:tcW w:w="5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每年</w:t>
                  </w:r>
                </w:p>
              </w:tc>
              <w:tc>
                <w:tcPr>
                  <w:tcW w:w="3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T/C</w:t>
                  </w:r>
                </w:p>
              </w:tc>
              <w:tc>
                <w:tcPr>
                  <w:tcW w:w="46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HW17</w:t>
                  </w:r>
                </w:p>
              </w:tc>
              <w:tc>
                <w:tcPr>
                  <w:tcW w:w="72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336-064-17</w:t>
                  </w:r>
                </w:p>
              </w:tc>
              <w:tc>
                <w:tcPr>
                  <w:tcW w:w="47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4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3</w:t>
                  </w:r>
                </w:p>
              </w:tc>
              <w:tc>
                <w:tcPr>
                  <w:tcW w:w="57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镀锌槽废滤芯</w:t>
                  </w:r>
                </w:p>
              </w:tc>
              <w:tc>
                <w:tcPr>
                  <w:tcW w:w="3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镀锌</w:t>
                  </w:r>
                </w:p>
              </w:tc>
              <w:tc>
                <w:tcPr>
                  <w:tcW w:w="3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重金属</w:t>
                  </w:r>
                </w:p>
              </w:tc>
              <w:tc>
                <w:tcPr>
                  <w:tcW w:w="3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半固态</w:t>
                  </w:r>
                </w:p>
              </w:tc>
              <w:tc>
                <w:tcPr>
                  <w:tcW w:w="5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2个月</w:t>
                  </w:r>
                </w:p>
              </w:tc>
              <w:tc>
                <w:tcPr>
                  <w:tcW w:w="3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T/In</w:t>
                  </w:r>
                </w:p>
              </w:tc>
              <w:tc>
                <w:tcPr>
                  <w:tcW w:w="46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HW49</w:t>
                  </w:r>
                </w:p>
              </w:tc>
              <w:tc>
                <w:tcPr>
                  <w:tcW w:w="72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900-041-49</w:t>
                  </w:r>
                </w:p>
              </w:tc>
              <w:tc>
                <w:tcPr>
                  <w:tcW w:w="47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0.43</w:t>
                  </w:r>
                </w:p>
              </w:tc>
              <w:tc>
                <w:tcPr>
                  <w:tcW w:w="4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4</w:t>
                  </w:r>
                </w:p>
              </w:tc>
              <w:tc>
                <w:tcPr>
                  <w:tcW w:w="57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封孔槽液废过滤液</w:t>
                  </w:r>
                </w:p>
              </w:tc>
              <w:tc>
                <w:tcPr>
                  <w:tcW w:w="3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封闭</w:t>
                  </w:r>
                </w:p>
              </w:tc>
              <w:tc>
                <w:tcPr>
                  <w:tcW w:w="3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有机硅烷类</w:t>
                  </w:r>
                </w:p>
              </w:tc>
              <w:tc>
                <w:tcPr>
                  <w:tcW w:w="3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半固态</w:t>
                  </w:r>
                </w:p>
              </w:tc>
              <w:tc>
                <w:tcPr>
                  <w:tcW w:w="5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不产生</w:t>
                  </w:r>
                </w:p>
              </w:tc>
              <w:tc>
                <w:tcPr>
                  <w:tcW w:w="3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T/In</w:t>
                  </w:r>
                </w:p>
              </w:tc>
              <w:tc>
                <w:tcPr>
                  <w:tcW w:w="46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HW49</w:t>
                  </w:r>
                </w:p>
              </w:tc>
              <w:tc>
                <w:tcPr>
                  <w:tcW w:w="72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900-041-49</w:t>
                  </w:r>
                </w:p>
              </w:tc>
              <w:tc>
                <w:tcPr>
                  <w:tcW w:w="47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c>
                <w:tcPr>
                  <w:tcW w:w="4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5</w:t>
                  </w:r>
                </w:p>
              </w:tc>
              <w:tc>
                <w:tcPr>
                  <w:tcW w:w="57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退镀槽废渣</w:t>
                  </w:r>
                </w:p>
              </w:tc>
              <w:tc>
                <w:tcPr>
                  <w:tcW w:w="3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退镀</w:t>
                  </w:r>
                </w:p>
              </w:tc>
              <w:tc>
                <w:tcPr>
                  <w:tcW w:w="3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废渣</w:t>
                  </w:r>
                </w:p>
              </w:tc>
              <w:tc>
                <w:tcPr>
                  <w:tcW w:w="3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半固态</w:t>
                  </w:r>
                </w:p>
              </w:tc>
              <w:tc>
                <w:tcPr>
                  <w:tcW w:w="5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6个月</w:t>
                  </w:r>
                </w:p>
              </w:tc>
              <w:tc>
                <w:tcPr>
                  <w:tcW w:w="3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T</w:t>
                  </w:r>
                </w:p>
              </w:tc>
              <w:tc>
                <w:tcPr>
                  <w:tcW w:w="46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HW17</w:t>
                  </w:r>
                </w:p>
              </w:tc>
              <w:tc>
                <w:tcPr>
                  <w:tcW w:w="72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336-066-17</w:t>
                  </w:r>
                </w:p>
              </w:tc>
              <w:tc>
                <w:tcPr>
                  <w:tcW w:w="47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0.05</w:t>
                  </w:r>
                </w:p>
              </w:tc>
              <w:tc>
                <w:tcPr>
                  <w:tcW w:w="4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93" w:hRule="atLeast"/>
                <w:jc w:val="center"/>
              </w:trPr>
              <w:tc>
                <w:tcPr>
                  <w:tcW w:w="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6</w:t>
                  </w:r>
                </w:p>
              </w:tc>
              <w:tc>
                <w:tcPr>
                  <w:tcW w:w="57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废包装物</w:t>
                  </w:r>
                </w:p>
              </w:tc>
              <w:tc>
                <w:tcPr>
                  <w:tcW w:w="3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生产</w:t>
                  </w:r>
                </w:p>
              </w:tc>
              <w:tc>
                <w:tcPr>
                  <w:tcW w:w="3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沾染化学品包装物</w:t>
                  </w:r>
                </w:p>
              </w:tc>
              <w:tc>
                <w:tcPr>
                  <w:tcW w:w="3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固态</w:t>
                  </w:r>
                </w:p>
              </w:tc>
              <w:tc>
                <w:tcPr>
                  <w:tcW w:w="5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3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T/In</w:t>
                  </w:r>
                </w:p>
              </w:tc>
              <w:tc>
                <w:tcPr>
                  <w:tcW w:w="7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HW49</w:t>
                  </w:r>
                </w:p>
              </w:tc>
              <w:tc>
                <w:tcPr>
                  <w:tcW w:w="11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900-041-49</w:t>
                  </w:r>
                </w:p>
              </w:tc>
              <w:tc>
                <w:tcPr>
                  <w:tcW w:w="47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0.2</w:t>
                  </w:r>
                </w:p>
              </w:tc>
              <w:tc>
                <w:tcPr>
                  <w:tcW w:w="4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7</w:t>
                  </w:r>
                </w:p>
              </w:tc>
              <w:tc>
                <w:tcPr>
                  <w:tcW w:w="57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钝化槽废槽液</w:t>
                  </w:r>
                </w:p>
              </w:tc>
              <w:tc>
                <w:tcPr>
                  <w:tcW w:w="3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钝化</w:t>
                  </w:r>
                </w:p>
              </w:tc>
              <w:tc>
                <w:tcPr>
                  <w:tcW w:w="3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槽液</w:t>
                  </w:r>
                </w:p>
              </w:tc>
              <w:tc>
                <w:tcPr>
                  <w:tcW w:w="3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液态</w:t>
                  </w:r>
                </w:p>
              </w:tc>
              <w:tc>
                <w:tcPr>
                  <w:tcW w:w="5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1年</w:t>
                  </w:r>
                </w:p>
              </w:tc>
              <w:tc>
                <w:tcPr>
                  <w:tcW w:w="3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T</w:t>
                  </w:r>
                </w:p>
              </w:tc>
              <w:tc>
                <w:tcPr>
                  <w:tcW w:w="46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HW17</w:t>
                  </w:r>
                </w:p>
              </w:tc>
              <w:tc>
                <w:tcPr>
                  <w:tcW w:w="72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336-068-17</w:t>
                  </w:r>
                </w:p>
              </w:tc>
              <w:tc>
                <w:tcPr>
                  <w:tcW w:w="47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4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2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w:t>
                  </w:r>
                </w:p>
              </w:tc>
              <w:tc>
                <w:tcPr>
                  <w:tcW w:w="57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钝化液再生系统废树脂</w:t>
                  </w:r>
                </w:p>
              </w:tc>
              <w:tc>
                <w:tcPr>
                  <w:tcW w:w="3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钝化液再生</w:t>
                  </w:r>
                </w:p>
              </w:tc>
              <w:tc>
                <w:tcPr>
                  <w:tcW w:w="3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树脂类</w:t>
                  </w:r>
                </w:p>
              </w:tc>
              <w:tc>
                <w:tcPr>
                  <w:tcW w:w="3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半固态</w:t>
                  </w:r>
                </w:p>
              </w:tc>
              <w:tc>
                <w:tcPr>
                  <w:tcW w:w="5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24个月</w:t>
                  </w:r>
                </w:p>
              </w:tc>
              <w:tc>
                <w:tcPr>
                  <w:tcW w:w="3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T</w:t>
                  </w:r>
                </w:p>
              </w:tc>
              <w:tc>
                <w:tcPr>
                  <w:tcW w:w="46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HW13</w:t>
                  </w:r>
                </w:p>
              </w:tc>
              <w:tc>
                <w:tcPr>
                  <w:tcW w:w="72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900-015-13</w:t>
                  </w:r>
                </w:p>
              </w:tc>
              <w:tc>
                <w:tcPr>
                  <w:tcW w:w="47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w:t>
                  </w:r>
                </w:p>
              </w:tc>
              <w:tc>
                <w:tcPr>
                  <w:tcW w:w="4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w:t>
                  </w:r>
                </w:p>
              </w:tc>
            </w:tr>
          </w:tbl>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由上表可知，此次危险废物实际产生内容为：</w:t>
            </w:r>
          </w:p>
          <w:p>
            <w:pPr>
              <w:pStyle w:val="7"/>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废油泥产生量为1.0t/a。</w:t>
            </w:r>
          </w:p>
          <w:p>
            <w:pPr>
              <w:pStyle w:val="7"/>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镀锌槽废滤芯产生量为0.4t/a。</w:t>
            </w:r>
          </w:p>
          <w:p>
            <w:pPr>
              <w:pStyle w:val="7"/>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纯水制备产生的废树脂依据《国家危险废物名录（2021年版）》已不属于危险废物。</w:t>
            </w:r>
          </w:p>
          <w:p>
            <w:pPr>
              <w:pStyle w:val="7"/>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退镀槽废渣产生量为0.05t/a。</w:t>
            </w:r>
          </w:p>
          <w:p>
            <w:pPr>
              <w:pStyle w:val="7"/>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废包装物产生量为0.18t/a。</w:t>
            </w:r>
          </w:p>
          <w:p>
            <w:pPr>
              <w:pStyle w:val="7"/>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钝化槽</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废槽液产生量为1t/a。</w:t>
            </w:r>
          </w:p>
          <w:p>
            <w:pPr>
              <w:pStyle w:val="7"/>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钝化液再生系统废树脂</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产生量为</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1t/a</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实际危险废物总量为2.73t/a。</w:t>
            </w:r>
            <w:bookmarkStart w:id="0" w:name="_GoBack"/>
            <w:bookmarkEnd w:id="0"/>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本项目三同时落实情况：</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2" w:firstLineChars="200"/>
              <w:jc w:val="center"/>
              <w:textAlignment w:val="auto"/>
              <w:outlineLvl w:val="9"/>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表5-4 “三同时”落实情况</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9"/>
              <w:gridCol w:w="1960"/>
              <w:gridCol w:w="1960"/>
              <w:gridCol w:w="1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959" w:type="dxa"/>
                  <w:vAlign w:val="center"/>
                </w:tcPr>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处理对象</w:t>
                  </w:r>
                </w:p>
              </w:tc>
              <w:tc>
                <w:tcPr>
                  <w:tcW w:w="1960" w:type="dxa"/>
                  <w:vAlign w:val="center"/>
                </w:tcPr>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环评批复情况</w:t>
                  </w:r>
                </w:p>
              </w:tc>
              <w:tc>
                <w:tcPr>
                  <w:tcW w:w="1960" w:type="dxa"/>
                  <w:vAlign w:val="center"/>
                </w:tcPr>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实际情况</w:t>
                  </w:r>
                </w:p>
              </w:tc>
              <w:tc>
                <w:tcPr>
                  <w:tcW w:w="1960" w:type="dxa"/>
                  <w:vAlign w:val="center"/>
                </w:tcPr>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959" w:type="dxa"/>
                  <w:vAlign w:val="center"/>
                </w:tcPr>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固体废物</w:t>
                  </w:r>
                </w:p>
              </w:tc>
              <w:tc>
                <w:tcPr>
                  <w:tcW w:w="1960" w:type="dxa"/>
                  <w:vAlign w:val="center"/>
                </w:tcPr>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center"/>
                    <w:textAlignment w:val="auto"/>
                    <w:outlineLvl w:val="9"/>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加强固体废物污染防治。按分类收集、贮存，分质处置的原则，认真落实《报告书》提出的固体废物收集、贮存和处置工作。依法严格落实危险废物全过程规范化管理的各项要求</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19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auto"/>
                      <w:sz w:val="21"/>
                      <w:szCs w:val="21"/>
                      <w:lang w:val="en-US" w:eastAsia="zh-CN"/>
                    </w:rPr>
                    <w:t>项目车间一层设置一处危险危废暂存间，危险废物</w:t>
                  </w:r>
                  <w:r>
                    <w:rPr>
                      <w:rFonts w:hint="eastAsia" w:ascii="Times New Roman" w:hAnsi="Times New Roman" w:eastAsia="宋体" w:cs="Times New Roman"/>
                      <w:color w:val="auto"/>
                      <w:sz w:val="21"/>
                      <w:szCs w:val="21"/>
                      <w:lang w:val="en-US" w:eastAsia="zh-CN"/>
                    </w:rPr>
                    <w:t>暂存于危废间，定期交有资质单位处置。</w:t>
                  </w:r>
                  <w:r>
                    <w:rPr>
                      <w:rFonts w:hint="default" w:ascii="Times New Roman" w:hAnsi="Times New Roman" w:eastAsia="宋体" w:cs="Times New Roman"/>
                      <w:color w:val="auto"/>
                      <w:sz w:val="21"/>
                      <w:szCs w:val="21"/>
                    </w:rPr>
                    <w:t>不合格产品重新上镀，厂房内设置一处一般固废暂存处</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生活垃圾交由环卫部门统一收运</w:t>
                  </w:r>
                  <w:r>
                    <w:rPr>
                      <w:rFonts w:hint="eastAsia" w:ascii="Times New Roman" w:hAnsi="Times New Roman" w:cs="Times New Roman"/>
                      <w:color w:val="auto"/>
                      <w:sz w:val="21"/>
                      <w:szCs w:val="21"/>
                      <w:lang w:eastAsia="zh-CN"/>
                    </w:rPr>
                    <w:t>。</w:t>
                  </w:r>
                </w:p>
              </w:tc>
              <w:tc>
                <w:tcPr>
                  <w:tcW w:w="1960" w:type="dxa"/>
                  <w:vAlign w:val="center"/>
                </w:tcPr>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落实</w:t>
                  </w:r>
                </w:p>
              </w:tc>
            </w:tr>
          </w:tbl>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center"/>
              <w:textAlignment w:val="auto"/>
              <w:outlineLvl w:val="9"/>
              <w:rPr>
                <w:rFonts w:hint="eastAsia" w:ascii="Times New Roman" w:hAnsi="Times New Roman" w:eastAsia="宋体" w:cs="Times New Roman"/>
                <w:b/>
                <w:bCs/>
                <w:lang w:eastAsia="zh-CN"/>
              </w:rPr>
            </w:pP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center"/>
              <w:textAlignment w:val="auto"/>
              <w:outlineLvl w:val="9"/>
              <w:rPr>
                <w:rFonts w:hint="eastAsia" w:ascii="Times New Roman" w:hAnsi="Times New Roman" w:eastAsia="宋体" w:cs="Times New Roman"/>
                <w:b/>
                <w:bCs/>
                <w:lang w:eastAsia="zh-CN"/>
              </w:rPr>
            </w:pPr>
            <w:r>
              <w:rPr>
                <w:rFonts w:hint="eastAsia" w:ascii="Times New Roman" w:hAnsi="Times New Roman" w:eastAsia="宋体" w:cs="Times New Roman"/>
                <w:b/>
                <w:bCs/>
                <w:lang w:eastAsia="zh-CN"/>
              </w:rPr>
              <w:drawing>
                <wp:inline distT="0" distB="0" distL="114300" distR="114300">
                  <wp:extent cx="5052060" cy="3288030"/>
                  <wp:effectExtent l="0" t="0" r="15240" b="7620"/>
                  <wp:docPr id="22" name="图片 22" descr="14c5fec4f00f601c05bd99da7d473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4c5fec4f00f601c05bd99da7d473ef"/>
                          <pic:cNvPicPr>
                            <a:picLocks noChangeAspect="1"/>
                          </pic:cNvPicPr>
                        </pic:nvPicPr>
                        <pic:blipFill>
                          <a:blip r:embed="rId12"/>
                          <a:stretch>
                            <a:fillRect/>
                          </a:stretch>
                        </pic:blipFill>
                        <pic:spPr>
                          <a:xfrm>
                            <a:off x="0" y="0"/>
                            <a:ext cx="5052060" cy="3288030"/>
                          </a:xfrm>
                          <a:prstGeom prst="rect">
                            <a:avLst/>
                          </a:prstGeom>
                        </pic:spPr>
                      </pic:pic>
                    </a:graphicData>
                  </a:graphic>
                </wp:inline>
              </w:drawing>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center"/>
              <w:textAlignment w:val="auto"/>
              <w:outlineLvl w:val="9"/>
              <w:rPr>
                <w:rFonts w:hint="eastAsia" w:ascii="Times New Roman" w:hAnsi="Times New Roman" w:eastAsia="宋体" w:cs="Times New Roman"/>
                <w:b/>
                <w:bCs/>
                <w:lang w:eastAsia="zh-CN"/>
              </w:rPr>
            </w:pPr>
            <w:r>
              <w:rPr>
                <w:rFonts w:hint="eastAsia" w:ascii="Times New Roman" w:hAnsi="Times New Roman" w:eastAsia="宋体" w:cs="Times New Roman"/>
                <w:b/>
                <w:bCs/>
                <w:lang w:eastAsia="zh-CN"/>
              </w:rPr>
              <w:t>图</w:t>
            </w:r>
            <w:r>
              <w:rPr>
                <w:rFonts w:hint="eastAsia" w:ascii="Times New Roman" w:hAnsi="Times New Roman" w:eastAsia="宋体" w:cs="Times New Roman"/>
                <w:b/>
                <w:bCs/>
                <w:lang w:val="en-US" w:eastAsia="zh-CN"/>
              </w:rPr>
              <w:t>5-3 危废标识标牌</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center"/>
              <w:textAlignment w:val="auto"/>
              <w:outlineLvl w:val="9"/>
              <w:rPr>
                <w:rFonts w:hint="eastAsia" w:ascii="Times New Roman" w:hAnsi="Times New Roman" w:eastAsia="宋体" w:cs="Times New Roman"/>
                <w:b/>
                <w:bCs/>
                <w:lang w:eastAsia="zh-CN"/>
              </w:rPr>
            </w:pPr>
            <w:r>
              <w:rPr>
                <w:rFonts w:hint="eastAsia" w:ascii="Times New Roman" w:hAnsi="Times New Roman" w:eastAsia="宋体" w:cs="Times New Roman"/>
                <w:b/>
                <w:bCs/>
                <w:lang w:eastAsia="zh-CN"/>
              </w:rPr>
              <w:drawing>
                <wp:inline distT="0" distB="0" distL="114300" distR="114300">
                  <wp:extent cx="5261610" cy="7015480"/>
                  <wp:effectExtent l="0" t="0" r="15240" b="13970"/>
                  <wp:docPr id="3" name="图片 3" descr="9d1ba931b485f4c1d13c22c8eb407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d1ba931b485f4c1d13c22c8eb407cb"/>
                          <pic:cNvPicPr>
                            <a:picLocks noChangeAspect="1"/>
                          </pic:cNvPicPr>
                        </pic:nvPicPr>
                        <pic:blipFill>
                          <a:blip r:embed="rId13"/>
                          <a:stretch>
                            <a:fillRect/>
                          </a:stretch>
                        </pic:blipFill>
                        <pic:spPr>
                          <a:xfrm>
                            <a:off x="0" y="0"/>
                            <a:ext cx="5261610" cy="7015480"/>
                          </a:xfrm>
                          <a:prstGeom prst="rect">
                            <a:avLst/>
                          </a:prstGeom>
                        </pic:spPr>
                      </pic:pic>
                    </a:graphicData>
                  </a:graphic>
                </wp:inline>
              </w:drawing>
            </w:r>
            <w:r>
              <w:rPr>
                <w:rFonts w:hint="eastAsia" w:ascii="Times New Roman" w:hAnsi="Times New Roman" w:eastAsia="宋体" w:cs="Times New Roman"/>
                <w:b/>
                <w:bCs/>
                <w:lang w:eastAsia="zh-CN"/>
              </w:rPr>
              <w:t>图</w:t>
            </w:r>
            <w:r>
              <w:rPr>
                <w:rFonts w:hint="eastAsia" w:ascii="Times New Roman" w:hAnsi="Times New Roman" w:eastAsia="宋体" w:cs="Times New Roman"/>
                <w:b/>
                <w:bCs/>
                <w:lang w:val="en-US" w:eastAsia="zh-CN"/>
              </w:rPr>
              <w:t>5-4 危废库内部</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center"/>
              <w:textAlignment w:val="auto"/>
              <w:outlineLvl w:val="9"/>
              <w:rPr>
                <w:rFonts w:hint="eastAsia" w:ascii="Times New Roman" w:hAnsi="Times New Roman" w:eastAsia="宋体" w:cs="Times New Roman"/>
                <w:b/>
                <w:bCs/>
                <w:lang w:val="en-US" w:eastAsia="zh-CN"/>
              </w:rPr>
            </w:pPr>
            <w:r>
              <w:rPr>
                <w:rFonts w:hint="eastAsia" w:ascii="Times New Roman" w:hAnsi="Times New Roman" w:eastAsia="宋体" w:cs="Times New Roman"/>
                <w:b/>
                <w:bCs/>
                <w:lang w:eastAsia="zh-CN"/>
              </w:rPr>
              <w:drawing>
                <wp:inline distT="0" distB="0" distL="114300" distR="114300">
                  <wp:extent cx="5261610" cy="7015480"/>
                  <wp:effectExtent l="0" t="0" r="15240" b="13970"/>
                  <wp:docPr id="5" name="图片 5" descr="fa17a65100f9acb411f681c2efd59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a17a65100f9acb411f681c2efd594a"/>
                          <pic:cNvPicPr>
                            <a:picLocks noChangeAspect="1"/>
                          </pic:cNvPicPr>
                        </pic:nvPicPr>
                        <pic:blipFill>
                          <a:blip r:embed="rId14"/>
                          <a:stretch>
                            <a:fillRect/>
                          </a:stretch>
                        </pic:blipFill>
                        <pic:spPr>
                          <a:xfrm>
                            <a:off x="0" y="0"/>
                            <a:ext cx="5261610" cy="7015480"/>
                          </a:xfrm>
                          <a:prstGeom prst="rect">
                            <a:avLst/>
                          </a:prstGeom>
                        </pic:spPr>
                      </pic:pic>
                    </a:graphicData>
                  </a:graphic>
                </wp:inline>
              </w:drawing>
            </w:r>
            <w:r>
              <w:rPr>
                <w:rFonts w:hint="eastAsia" w:ascii="Times New Roman" w:hAnsi="Times New Roman" w:eastAsia="宋体" w:cs="Times New Roman"/>
                <w:b/>
                <w:bCs/>
                <w:lang w:eastAsia="zh-CN"/>
              </w:rPr>
              <w:t>图</w:t>
            </w:r>
            <w:r>
              <w:rPr>
                <w:rFonts w:hint="eastAsia" w:ascii="Times New Roman" w:hAnsi="Times New Roman" w:eastAsia="宋体" w:cs="Times New Roman"/>
                <w:b/>
                <w:bCs/>
                <w:lang w:val="en-US" w:eastAsia="zh-CN"/>
              </w:rPr>
              <w:t>5-5 危废库内部</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center"/>
              <w:textAlignment w:val="auto"/>
              <w:outlineLvl w:val="9"/>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drawing>
                <wp:inline distT="0" distB="0" distL="114300" distR="114300">
                  <wp:extent cx="5261610" cy="7015480"/>
                  <wp:effectExtent l="0" t="0" r="15240" b="13970"/>
                  <wp:docPr id="6" name="图片 6" descr="46e6366bdf6f3aef4d87a6e012304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6e6366bdf6f3aef4d87a6e012304e1"/>
                          <pic:cNvPicPr>
                            <a:picLocks noChangeAspect="1"/>
                          </pic:cNvPicPr>
                        </pic:nvPicPr>
                        <pic:blipFill>
                          <a:blip r:embed="rId15"/>
                          <a:stretch>
                            <a:fillRect/>
                          </a:stretch>
                        </pic:blipFill>
                        <pic:spPr>
                          <a:xfrm>
                            <a:off x="0" y="0"/>
                            <a:ext cx="5261610" cy="7015480"/>
                          </a:xfrm>
                          <a:prstGeom prst="rect">
                            <a:avLst/>
                          </a:prstGeom>
                        </pic:spPr>
                      </pic:pic>
                    </a:graphicData>
                  </a:graphic>
                </wp:inline>
              </w:drawing>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center"/>
              <w:textAlignment w:val="auto"/>
              <w:outlineLvl w:val="9"/>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图5-6 车间防腐防渗处理</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center"/>
              <w:textAlignment w:val="auto"/>
              <w:outlineLvl w:val="9"/>
              <w:rPr>
                <w:rFonts w:hint="default" w:ascii="Times New Roman" w:hAnsi="Times New Roman" w:eastAsia="宋体" w:cs="Times New Roman"/>
                <w:b/>
                <w:bCs/>
                <w:lang w:val="en-US" w:eastAsia="zh-CN"/>
              </w:rPr>
            </w:pPr>
          </w:p>
        </w:tc>
      </w:tr>
    </w:tbl>
    <w:p>
      <w:pPr>
        <w:rPr>
          <w:rFonts w:ascii="Times New Roman" w:hAnsi="Times New Roman" w:eastAsia="宋体" w:cs="Times New Roman"/>
        </w:rPr>
      </w:pPr>
    </w:p>
    <w:tbl>
      <w:tblPr>
        <w:tblStyle w:val="13"/>
        <w:tblW w:w="501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3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5000" w:type="pct"/>
            <w:tcBorders>
              <w:bottom w:val="single" w:color="000000" w:sz="6" w:space="0"/>
            </w:tcBorders>
          </w:tcPr>
          <w:p>
            <w:pPr>
              <w:pStyle w:val="2"/>
              <w:keepNext w:val="0"/>
              <w:keepLines w:val="0"/>
              <w:pageBreakBefore w:val="0"/>
              <w:widowControl w:val="0"/>
              <w:kinsoku/>
              <w:wordWrap/>
              <w:overflowPunct/>
              <w:topLinePunct w:val="0"/>
              <w:autoSpaceDE/>
              <w:autoSpaceDN/>
              <w:bidi w:val="0"/>
              <w:spacing w:after="0" w:line="360" w:lineRule="auto"/>
              <w:textAlignment w:val="auto"/>
              <w:rPr>
                <w:rFonts w:ascii="Times New Roman" w:hAnsi="Times New Roman" w:eastAsia="宋体" w:cs="Times New Roman"/>
                <w:sz w:val="24"/>
                <w:szCs w:val="24"/>
              </w:rPr>
            </w:pPr>
            <w:r>
              <w:rPr>
                <w:rFonts w:ascii="Times New Roman" w:hAnsi="Times New Roman" w:eastAsia="宋体" w:cs="Times New Roman"/>
                <w:sz w:val="24"/>
                <w:szCs w:val="24"/>
              </w:rPr>
              <w:t>各级环境保护行政主管部门的审批意见</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eastAsia="宋体"/>
                <w:sz w:val="24"/>
                <w:szCs w:val="24"/>
              </w:rPr>
            </w:pPr>
            <w:r>
              <w:rPr>
                <w:rFonts w:hint="eastAsia" w:ascii="Times New Roman" w:hAnsi="Times New Roman" w:cs="Times New Roman"/>
                <w:color w:val="auto"/>
                <w:sz w:val="24"/>
                <w:szCs w:val="24"/>
                <w:lang w:val="en-US" w:eastAsia="zh-CN"/>
              </w:rPr>
              <w:t>《</w:t>
            </w:r>
            <w:r>
              <w:rPr>
                <w:rFonts w:hint="eastAsia" w:ascii="Times New Roman" w:hAnsi="Times New Roman" w:eastAsia="宋体" w:cs="Times New Roman"/>
                <w:sz w:val="24"/>
                <w:szCs w:val="24"/>
                <w:lang w:eastAsia="zh-CN"/>
              </w:rPr>
              <w:t>宁国市石口金属表面处理有限公司危险废物变动情况补充报告</w:t>
            </w:r>
            <w:r>
              <w:rPr>
                <w:rFonts w:hint="eastAsia" w:ascii="Times New Roman" w:hAnsi="Times New Roman" w:cs="Times New Roman"/>
                <w:color w:val="auto"/>
                <w:sz w:val="24"/>
                <w:szCs w:val="24"/>
                <w:lang w:val="en-US" w:eastAsia="zh-CN"/>
              </w:rPr>
              <w:t>》</w:t>
            </w:r>
            <w:r>
              <w:rPr>
                <w:rFonts w:hint="eastAsia" w:ascii="Times New Roman" w:hAnsi="Times New Roman" w:eastAsia="宋体" w:cs="Times New Roman"/>
                <w:sz w:val="24"/>
                <w:szCs w:val="24"/>
              </w:rPr>
              <w:t>于20</w:t>
            </w:r>
            <w:r>
              <w:rPr>
                <w:rFonts w:hint="eastAsia" w:ascii="Times New Roman" w:hAnsi="Times New Roman" w:eastAsia="宋体" w:cs="Times New Roman"/>
                <w:sz w:val="24"/>
                <w:szCs w:val="24"/>
                <w:lang w:val="en-US" w:eastAsia="zh-CN"/>
              </w:rPr>
              <w:t>21</w:t>
            </w:r>
            <w:r>
              <w:rPr>
                <w:rFonts w:hint="eastAsia"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6</w:t>
            </w:r>
            <w:r>
              <w:rPr>
                <w:rFonts w:hint="eastAsia" w:ascii="Times New Roman" w:hAnsi="Times New Roman" w:eastAsia="宋体" w:cs="Times New Roman"/>
                <w:sz w:val="24"/>
                <w:szCs w:val="24"/>
              </w:rPr>
              <w:t>月2</w:t>
            </w: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rPr>
              <w:t>日</w:t>
            </w:r>
            <w:r>
              <w:rPr>
                <w:rFonts w:hint="eastAsia" w:ascii="Times New Roman" w:hAnsi="Times New Roman" w:eastAsia="宋体" w:cs="Times New Roman"/>
                <w:sz w:val="24"/>
                <w:szCs w:val="24"/>
                <w:lang w:eastAsia="zh-CN"/>
              </w:rPr>
              <w:t>由宣城市</w:t>
            </w:r>
            <w:r>
              <w:rPr>
                <w:rFonts w:hint="eastAsia" w:ascii="Times New Roman" w:hAnsi="Times New Roman" w:eastAsia="宋体" w:cs="Times New Roman"/>
                <w:sz w:val="24"/>
                <w:szCs w:val="24"/>
              </w:rPr>
              <w:t>宁国市</w:t>
            </w:r>
            <w:r>
              <w:rPr>
                <w:rFonts w:hint="eastAsia" w:ascii="Times New Roman" w:hAnsi="Times New Roman" w:eastAsia="宋体" w:cs="Times New Roman"/>
                <w:sz w:val="24"/>
                <w:szCs w:val="24"/>
                <w:lang w:eastAsia="zh-CN"/>
              </w:rPr>
              <w:t>生态环境分局收悉并转报宣城市生态环境局</w:t>
            </w:r>
            <w:r>
              <w:rPr>
                <w:rFonts w:hint="eastAsia" w:ascii="Times New Roman" w:hAnsi="Times New Roman" w:eastAsia="宋体" w:cs="Times New Roman"/>
                <w:sz w:val="24"/>
                <w:szCs w:val="24"/>
              </w:rPr>
              <w:t>。具体如下：</w:t>
            </w:r>
          </w:p>
          <w:p>
            <w:pPr>
              <w:pStyle w:val="17"/>
              <w:keepNext w:val="0"/>
              <w:keepLines w:val="0"/>
              <w:pageBreakBefore w:val="0"/>
              <w:widowControl w:val="0"/>
              <w:kinsoku/>
              <w:wordWrap/>
              <w:overflowPunct/>
              <w:topLinePunct w:val="0"/>
              <w:autoSpaceDE/>
              <w:autoSpaceDN/>
              <w:bidi w:val="0"/>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drawing>
                <wp:inline distT="0" distB="0" distL="114300" distR="114300">
                  <wp:extent cx="5173980" cy="7466965"/>
                  <wp:effectExtent l="0" t="0" r="7620" b="635"/>
                  <wp:docPr id="23" name="图片 23" descr="0a8adb19e20be3b1fceac64ae37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a8adb19e20be3b1fceac64ae373025"/>
                          <pic:cNvPicPr>
                            <a:picLocks noChangeAspect="1"/>
                          </pic:cNvPicPr>
                        </pic:nvPicPr>
                        <pic:blipFill>
                          <a:blip r:embed="rId16"/>
                          <a:stretch>
                            <a:fillRect/>
                          </a:stretch>
                        </pic:blipFill>
                        <pic:spPr>
                          <a:xfrm>
                            <a:off x="0" y="0"/>
                            <a:ext cx="5173980" cy="7466965"/>
                          </a:xfrm>
                          <a:prstGeom prst="rect">
                            <a:avLst/>
                          </a:prstGeom>
                        </pic:spPr>
                      </pic:pic>
                    </a:graphicData>
                  </a:graphic>
                </wp:inline>
              </w:drawing>
            </w:r>
          </w:p>
        </w:tc>
      </w:tr>
    </w:tbl>
    <w:p>
      <w:pPr>
        <w:rPr>
          <w:rFonts w:ascii="Times New Roman" w:hAnsi="Times New Roman" w:eastAsia="宋体" w:cs="Times New Roman"/>
        </w:rPr>
        <w:sectPr>
          <w:head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
        <w:tabs>
          <w:tab w:val="left" w:pos="893"/>
        </w:tabs>
        <w:spacing w:before="68"/>
        <w:ind w:right="275"/>
        <w:jc w:val="center"/>
        <w:rPr>
          <w:rFonts w:ascii="Times New Roman" w:hAnsi="Times New Roman" w:eastAsia="宋体" w:cs="Times New Roman"/>
          <w:sz w:val="24"/>
          <w:szCs w:val="24"/>
        </w:rPr>
      </w:pPr>
      <w:r>
        <w:rPr>
          <w:rFonts w:ascii="Times New Roman" w:hAnsi="Times New Roman" w:eastAsia="宋体" w:cs="Times New Roman"/>
          <w:sz w:val="24"/>
          <w:szCs w:val="24"/>
        </w:rPr>
        <w:t>调查结论与建议</w:t>
      </w:r>
    </w:p>
    <w:tbl>
      <w:tblPr>
        <w:tblStyle w:val="1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3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95" w:hRule="atLeast"/>
        </w:trPr>
        <w:tc>
          <w:tcPr>
            <w:tcW w:w="5000" w:type="pct"/>
          </w:tcPr>
          <w:p>
            <w:pPr>
              <w:pStyle w:val="17"/>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调查结论及建议</w:t>
            </w:r>
          </w:p>
          <w:p>
            <w:pPr>
              <w:pStyle w:val="17"/>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一、结论</w:t>
            </w:r>
          </w:p>
          <w:p>
            <w:pPr>
              <w:pStyle w:val="17"/>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cs="Times New Roman"/>
                <w:color w:val="auto"/>
                <w:sz w:val="24"/>
                <w:szCs w:val="24"/>
                <w:lang w:val="en-US" w:eastAsia="zh-CN"/>
              </w:rPr>
              <w:t>《</w:t>
            </w:r>
            <w:r>
              <w:rPr>
                <w:rFonts w:hint="eastAsia" w:ascii="Times New Roman" w:hAnsi="Times New Roman" w:eastAsia="宋体" w:cs="Times New Roman"/>
                <w:sz w:val="24"/>
                <w:szCs w:val="24"/>
                <w:lang w:eastAsia="zh-CN"/>
              </w:rPr>
              <w:t>宁国市石口金属表面处理有限公司危险废物变动情况补充报告</w:t>
            </w:r>
            <w:r>
              <w:rPr>
                <w:rFonts w:hint="eastAsia" w:ascii="Times New Roman" w:hAnsi="Times New Roman" w:cs="Times New Roman"/>
                <w:color w:val="auto"/>
                <w:sz w:val="24"/>
                <w:szCs w:val="24"/>
                <w:lang w:val="en-US" w:eastAsia="zh-CN"/>
              </w:rPr>
              <w:t>》</w:t>
            </w:r>
            <w:r>
              <w:rPr>
                <w:rFonts w:hint="eastAsia" w:ascii="Times New Roman" w:hAnsi="Times New Roman" w:eastAsia="宋体" w:cs="Times New Roman"/>
                <w:sz w:val="24"/>
                <w:szCs w:val="24"/>
              </w:rPr>
              <w:t>基本执行了环境影响评价制度和环境保护设施与主体工程同时设计、同时施工、同时投产使用的“三同时”制度，达到了环保部门对该项目生态环境保护和污染防治的目标要求。</w:t>
            </w:r>
          </w:p>
          <w:p>
            <w:pPr>
              <w:pStyle w:val="17"/>
              <w:spacing w:line="360" w:lineRule="auto"/>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cs="Times New Roman"/>
                <w:color w:val="auto"/>
                <w:sz w:val="24"/>
                <w:szCs w:val="24"/>
                <w:lang w:val="en-US" w:eastAsia="zh-CN"/>
              </w:rPr>
              <w:t>1、一般工业固废为</w:t>
            </w:r>
            <w:r>
              <w:rPr>
                <w:rFonts w:hint="default" w:ascii="Times New Roman" w:hAnsi="Times New Roman" w:eastAsia="宋体" w:cs="Times New Roman"/>
                <w:color w:val="000000"/>
                <w:sz w:val="24"/>
                <w:szCs w:val="24"/>
              </w:rPr>
              <w:t>不合格产品</w:t>
            </w: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本公司已设置一般工业固废暂存场所，</w:t>
            </w:r>
            <w:r>
              <w:rPr>
                <w:rFonts w:hint="default" w:ascii="Times New Roman" w:hAnsi="Times New Roman" w:eastAsia="宋体" w:cs="Times New Roman"/>
                <w:color w:val="000000"/>
                <w:sz w:val="24"/>
                <w:szCs w:val="24"/>
              </w:rPr>
              <w:t>采取无害化处置措施</w:t>
            </w: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重新镀件，不外排，符合国家环境保护标准。</w:t>
            </w:r>
          </w:p>
          <w:p>
            <w:pPr>
              <w:pStyle w:val="17"/>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color w:val="000000"/>
                <w:sz w:val="24"/>
                <w:szCs w:val="24"/>
                <w:lang w:val="en-US" w:eastAsia="zh-CN"/>
              </w:rPr>
              <w:t>2、</w:t>
            </w:r>
            <w:r>
              <w:rPr>
                <w:rFonts w:hint="eastAsia" w:ascii="Times New Roman" w:hAnsi="Times New Roman" w:eastAsia="宋体" w:cs="Times New Roman"/>
                <w:color w:val="000000"/>
                <w:sz w:val="24"/>
                <w:szCs w:val="24"/>
                <w:lang w:eastAsia="zh-CN"/>
              </w:rPr>
              <w:t>本</w:t>
            </w:r>
            <w:r>
              <w:rPr>
                <w:rFonts w:hint="default" w:ascii="Times New Roman" w:hAnsi="Times New Roman" w:cs="Times New Roman"/>
                <w:sz w:val="24"/>
                <w:szCs w:val="24"/>
              </w:rPr>
              <w:t>项目</w:t>
            </w:r>
            <w:r>
              <w:rPr>
                <w:rFonts w:hint="eastAsia" w:ascii="Times New Roman" w:hAnsi="Times New Roman" w:eastAsia="宋体" w:cs="Times New Roman"/>
                <w:color w:val="000000"/>
                <w:sz w:val="24"/>
                <w:szCs w:val="24"/>
                <w:lang w:val="en-US" w:eastAsia="zh-CN"/>
              </w:rPr>
              <w:t>生活垃圾在指定的地点放置垃圾桶，未随意倾倒、抛撒和堆放，</w:t>
            </w:r>
            <w:r>
              <w:rPr>
                <w:rFonts w:hint="default" w:ascii="Times New Roman" w:hAnsi="Times New Roman" w:cs="Times New Roman"/>
                <w:sz w:val="24"/>
                <w:szCs w:val="24"/>
              </w:rPr>
              <w:t>委托环卫部门</w:t>
            </w:r>
            <w:r>
              <w:rPr>
                <w:rFonts w:hint="eastAsia" w:ascii="Times New Roman" w:hAnsi="Times New Roman" w:eastAsia="宋体" w:cs="Times New Roman"/>
                <w:sz w:val="24"/>
                <w:szCs w:val="24"/>
                <w:lang w:eastAsia="zh-CN"/>
              </w:rPr>
              <w:t>统一</w:t>
            </w:r>
            <w:r>
              <w:rPr>
                <w:rFonts w:hint="default" w:ascii="Times New Roman" w:hAnsi="Times New Roman" w:cs="Times New Roman"/>
                <w:sz w:val="24"/>
                <w:szCs w:val="24"/>
              </w:rPr>
              <w:t>清运处理</w:t>
            </w:r>
            <w:r>
              <w:rPr>
                <w:rFonts w:hint="eastAsia" w:ascii="Times New Roman" w:hAnsi="Times New Roman" w:eastAsia="宋体" w:cs="Times New Roman"/>
                <w:sz w:val="24"/>
                <w:szCs w:val="24"/>
                <w:lang w:eastAsia="zh-CN"/>
              </w:rPr>
              <w:t>。</w:t>
            </w:r>
          </w:p>
          <w:p>
            <w:pPr>
              <w:pStyle w:val="17"/>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color w:val="000000"/>
                <w:sz w:val="24"/>
                <w:szCs w:val="24"/>
                <w:lang w:val="en-US" w:eastAsia="zh-CN"/>
              </w:rPr>
              <w:t>危险废物暂存场所按规定设计和建造，防雨、防渗、防盗， 建造场地的地质结构稳定，设施底部高于地下水最高水位。盛载危险废物的器具按标准要求 ，危险废物在贮存设施内分类堆放并在盛装危险废物的容器上粘贴符合标准的标签。定期对所贮存的危险废物包装容器及贮存设施进行检查，发现破损，及时采取措施清理更换。设有危废标识标牌。危险废物产生和危险废物贮存台账记录完整，记录上注明了危险废物的名称、来源、数量、特性和包装容器的类别、入库日期、存放库位、废物出库日期及接收单位名称。</w:t>
            </w:r>
          </w:p>
          <w:p>
            <w:pPr>
              <w:pStyle w:val="17"/>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二、建议</w:t>
            </w:r>
          </w:p>
          <w:p>
            <w:pPr>
              <w:pStyle w:val="17"/>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根据环境保护工程设计以及现场调查的工程建设情况，本次验收调查提出的建议如下：</w:t>
            </w:r>
          </w:p>
          <w:p>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1.</w:t>
            </w:r>
            <w:r>
              <w:rPr>
                <w:rFonts w:hint="eastAsia" w:ascii="Times New Roman" w:hAnsi="Times New Roman" w:eastAsia="宋体" w:cs="Times New Roman"/>
                <w:b w:val="0"/>
                <w:bCs w:val="0"/>
                <w:color w:val="auto"/>
                <w:sz w:val="24"/>
                <w:szCs w:val="24"/>
                <w:lang w:val="en-US" w:eastAsia="zh-CN"/>
              </w:rPr>
              <w:t>做好危险废物处置工作，依法严格落实危险废物全过程规范化管理的各项要求</w:t>
            </w:r>
            <w:r>
              <w:rPr>
                <w:rFonts w:hint="eastAsia" w:ascii="Times New Roman" w:hAnsi="Times New Roman" w:eastAsia="宋体" w:cs="Times New Roman"/>
                <w:sz w:val="24"/>
                <w:szCs w:val="24"/>
                <w:lang w:eastAsia="zh-CN"/>
              </w:rPr>
              <w:t>。</w:t>
            </w:r>
          </w:p>
          <w:p>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sz w:val="24"/>
                <w:szCs w:val="24"/>
              </w:rPr>
              <w:t>2.</w:t>
            </w:r>
            <w:r>
              <w:rPr>
                <w:rFonts w:hint="default" w:ascii="Times New Roman" w:hAnsi="Times New Roman" w:cs="Times New Roman"/>
                <w:b w:val="0"/>
                <w:bCs w:val="0"/>
                <w:color w:val="auto"/>
                <w:sz w:val="24"/>
                <w:szCs w:val="24"/>
              </w:rPr>
              <w:t>为了能使项目区内各项污染防治措施达到较好的实际使用效果，建议</w:t>
            </w:r>
            <w:r>
              <w:rPr>
                <w:rFonts w:hint="eastAsia" w:ascii="Times New Roman" w:hAnsi="Times New Roman" w:eastAsia="宋体" w:cs="Times New Roman"/>
                <w:b w:val="0"/>
                <w:bCs w:val="0"/>
                <w:color w:val="auto"/>
                <w:sz w:val="24"/>
                <w:szCs w:val="24"/>
                <w:lang w:eastAsia="zh-CN"/>
              </w:rPr>
              <w:t>建设单位</w:t>
            </w:r>
            <w:r>
              <w:rPr>
                <w:rFonts w:hint="default" w:ascii="Times New Roman" w:hAnsi="Times New Roman" w:cs="Times New Roman"/>
                <w:b w:val="0"/>
                <w:bCs w:val="0"/>
                <w:color w:val="auto"/>
                <w:sz w:val="24"/>
                <w:szCs w:val="24"/>
              </w:rPr>
              <w:t>建立健全的环境保护制度</w:t>
            </w:r>
            <w:r>
              <w:rPr>
                <w:rFonts w:hint="eastAsia" w:ascii="Times New Roman" w:hAnsi="Times New Roman" w:eastAsia="宋体" w:cs="Times New Roman"/>
                <w:b w:val="0"/>
                <w:bCs w:val="0"/>
                <w:color w:val="auto"/>
                <w:sz w:val="24"/>
                <w:szCs w:val="24"/>
                <w:lang w:eastAsia="zh-CN"/>
              </w:rPr>
              <w:t>。</w:t>
            </w:r>
          </w:p>
          <w:p>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3.认真落实本项目的环境管理工作，切实贯彻“三同时”制度，严格执行环境保护法规。</w:t>
            </w:r>
          </w:p>
        </w:tc>
      </w:tr>
    </w:tbl>
    <w:p>
      <w:pPr>
        <w:pStyle w:val="4"/>
        <w:ind w:firstLine="572" w:firstLineChars="0"/>
        <w:rPr>
          <w:rFonts w:hint="default"/>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Noto Sans Mono CJK JP Bold">
    <w:altName w:val="Segoe Print"/>
    <w:panose1 w:val="00000000000000000000"/>
    <w:charset w:val="00"/>
    <w:family w:val="swiss"/>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ind w:right="360" w:firstLine="360"/>
      <w:jc w:val="cente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080DF2"/>
    <w:multiLevelType w:val="singleLevel"/>
    <w:tmpl w:val="B3080DF2"/>
    <w:lvl w:ilvl="0" w:tentative="0">
      <w:start w:val="1"/>
      <w:numFmt w:val="decimal"/>
      <w:suff w:val="nothing"/>
      <w:lvlText w:val="%1、"/>
      <w:lvlJc w:val="left"/>
    </w:lvl>
  </w:abstractNum>
  <w:abstractNum w:abstractNumId="1">
    <w:nsid w:val="78B97A35"/>
    <w:multiLevelType w:val="singleLevel"/>
    <w:tmpl w:val="78B97A35"/>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73521C6"/>
    <w:rsid w:val="002E5CDD"/>
    <w:rsid w:val="00AE3746"/>
    <w:rsid w:val="012F3100"/>
    <w:rsid w:val="02854F2E"/>
    <w:rsid w:val="09E64FC3"/>
    <w:rsid w:val="0AF1277E"/>
    <w:rsid w:val="0DBB3972"/>
    <w:rsid w:val="0FC046ED"/>
    <w:rsid w:val="11C3516A"/>
    <w:rsid w:val="138F2C67"/>
    <w:rsid w:val="13B10CAF"/>
    <w:rsid w:val="15016E5F"/>
    <w:rsid w:val="15507EFD"/>
    <w:rsid w:val="1559369D"/>
    <w:rsid w:val="157669B9"/>
    <w:rsid w:val="168A41A5"/>
    <w:rsid w:val="1751044F"/>
    <w:rsid w:val="17936680"/>
    <w:rsid w:val="19070AEA"/>
    <w:rsid w:val="1B39544C"/>
    <w:rsid w:val="1C553A74"/>
    <w:rsid w:val="1D78662A"/>
    <w:rsid w:val="1FFE2E76"/>
    <w:rsid w:val="20172F34"/>
    <w:rsid w:val="20324724"/>
    <w:rsid w:val="22390A27"/>
    <w:rsid w:val="2384335D"/>
    <w:rsid w:val="26CF1B56"/>
    <w:rsid w:val="273A5EF7"/>
    <w:rsid w:val="27E42DFC"/>
    <w:rsid w:val="29F5677A"/>
    <w:rsid w:val="2A5C0744"/>
    <w:rsid w:val="2ABC2CFF"/>
    <w:rsid w:val="2C172D25"/>
    <w:rsid w:val="30D70D4E"/>
    <w:rsid w:val="32AB1E32"/>
    <w:rsid w:val="33213D8B"/>
    <w:rsid w:val="3A250457"/>
    <w:rsid w:val="3B9A1CAC"/>
    <w:rsid w:val="3EB819E0"/>
    <w:rsid w:val="3F207988"/>
    <w:rsid w:val="410217DF"/>
    <w:rsid w:val="43C3791E"/>
    <w:rsid w:val="446B46E1"/>
    <w:rsid w:val="473521C6"/>
    <w:rsid w:val="4A09594A"/>
    <w:rsid w:val="4A5A4D0D"/>
    <w:rsid w:val="525715F3"/>
    <w:rsid w:val="56F34F38"/>
    <w:rsid w:val="58167638"/>
    <w:rsid w:val="59B87CA6"/>
    <w:rsid w:val="5A012881"/>
    <w:rsid w:val="5B1D39AB"/>
    <w:rsid w:val="5BF9760B"/>
    <w:rsid w:val="5C575BE3"/>
    <w:rsid w:val="5CEF4561"/>
    <w:rsid w:val="5D006300"/>
    <w:rsid w:val="5DCB3F87"/>
    <w:rsid w:val="60287A9D"/>
    <w:rsid w:val="62430118"/>
    <w:rsid w:val="63E57501"/>
    <w:rsid w:val="671B0C03"/>
    <w:rsid w:val="694C048D"/>
    <w:rsid w:val="6C9F5581"/>
    <w:rsid w:val="6DFD53CA"/>
    <w:rsid w:val="6FDB45C4"/>
    <w:rsid w:val="74FC503E"/>
    <w:rsid w:val="77380040"/>
    <w:rsid w:val="78CD7A79"/>
    <w:rsid w:val="7D3772E5"/>
    <w:rsid w:val="7FAB40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5"/>
    <w:qFormat/>
    <w:uiPriority w:val="0"/>
    <w:pPr>
      <w:keepNext/>
      <w:keepLines/>
      <w:spacing w:before="260" w:after="260" w:line="416" w:lineRule="auto"/>
      <w:outlineLvl w:val="1"/>
    </w:pPr>
    <w:rPr>
      <w:rFonts w:ascii="Arial" w:hAnsi="Arial" w:eastAsia="黑体"/>
      <w:b/>
      <w:bCs/>
      <w:sz w:val="32"/>
      <w:szCs w:val="32"/>
    </w:rPr>
  </w:style>
  <w:style w:type="paragraph" w:styleId="6">
    <w:name w:val="heading 4"/>
    <w:basedOn w:val="1"/>
    <w:next w:val="1"/>
    <w:qFormat/>
    <w:uiPriority w:val="1"/>
    <w:pPr>
      <w:ind w:left="1068"/>
      <w:outlineLvl w:val="3"/>
    </w:pPr>
    <w:rPr>
      <w:rFonts w:ascii="宋体" w:hAnsi="宋体" w:cs="宋体"/>
      <w:b/>
      <w:bCs/>
      <w:sz w:val="24"/>
      <w:lang w:val="zh-CN" w:bidi="zh-CN"/>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customStyle="1" w:styleId="3">
    <w:name w:val="xl27"/>
    <w:basedOn w:val="1"/>
    <w:qFormat/>
    <w:uiPriority w:val="0"/>
    <w:pPr>
      <w:spacing w:before="100" w:beforeAutospacing="1" w:after="100" w:afterAutospacing="1"/>
    </w:pPr>
    <w:rPr>
      <w:color w:val="FF0000"/>
      <w:sz w:val="24"/>
    </w:rPr>
  </w:style>
  <w:style w:type="paragraph" w:styleId="5">
    <w:name w:val="Normal Indent"/>
    <w:basedOn w:val="1"/>
    <w:next w:val="6"/>
    <w:qFormat/>
    <w:uiPriority w:val="0"/>
    <w:rPr>
      <w:sz w:val="28"/>
    </w:rPr>
  </w:style>
  <w:style w:type="paragraph" w:styleId="7">
    <w:name w:val="annotation text"/>
    <w:basedOn w:val="1"/>
    <w:qFormat/>
    <w:uiPriority w:val="0"/>
    <w:pPr>
      <w:jc w:val="left"/>
    </w:pPr>
    <w:rPr>
      <w:kern w:val="2"/>
      <w:sz w:val="21"/>
    </w:rPr>
  </w:style>
  <w:style w:type="paragraph" w:styleId="8">
    <w:name w:val="Body Text Indent"/>
    <w:basedOn w:val="1"/>
    <w:qFormat/>
    <w:uiPriority w:val="0"/>
    <w:pPr>
      <w:spacing w:after="120" w:afterLines="0"/>
      <w:ind w:left="420" w:leftChars="200"/>
    </w:pPr>
  </w:style>
  <w:style w:type="paragraph" w:styleId="9">
    <w:name w:val="Date"/>
    <w:basedOn w:val="1"/>
    <w:next w:val="1"/>
    <w:qFormat/>
    <w:uiPriority w:val="0"/>
    <w:pPr>
      <w:adjustRightInd w:val="0"/>
      <w:textAlignment w:val="baseline"/>
    </w:pPr>
    <w:rPr>
      <w:rFonts w:eastAsia="宋体"/>
      <w:kern w:val="2"/>
      <w:sz w:val="24"/>
      <w:lang w:val="en-US" w:eastAsia="zh-CN"/>
    </w:rPr>
  </w:style>
  <w:style w:type="paragraph" w:styleId="10">
    <w:name w:val="footer"/>
    <w:basedOn w:val="1"/>
    <w:qFormat/>
    <w:uiPriority w:val="0"/>
    <w:pPr>
      <w:tabs>
        <w:tab w:val="center" w:pos="4153"/>
        <w:tab w:val="right" w:pos="8306"/>
      </w:tabs>
    </w:pPr>
    <w:rPr>
      <w:rFonts w:eastAsia="宋体"/>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Body Text First Indent 2"/>
    <w:basedOn w:val="8"/>
    <w:qFormat/>
    <w:uiPriority w:val="0"/>
    <w:pPr>
      <w:spacing w:line="480" w:lineRule="exact"/>
      <w:ind w:firstLine="420" w:firstLineChars="200"/>
    </w:p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basedOn w:val="15"/>
    <w:qFormat/>
    <w:uiPriority w:val="0"/>
  </w:style>
  <w:style w:type="paragraph" w:customStyle="1" w:styleId="17">
    <w:name w:val="Table Paragraph"/>
    <w:basedOn w:val="1"/>
    <w:qFormat/>
    <w:uiPriority w:val="1"/>
    <w:rPr>
      <w:rFonts w:ascii="Noto Sans Mono CJK JP Bold" w:hAnsi="Noto Sans Mono CJK JP Bold" w:eastAsia="Noto Sans Mono CJK JP Bold" w:cs="Noto Sans Mono CJK JP Bold"/>
      <w:lang w:val="en-US" w:eastAsia="zh-CN" w:bidi="ar-SA"/>
    </w:rPr>
  </w:style>
  <w:style w:type="character" w:customStyle="1" w:styleId="18">
    <w:name w:val="表格标题 Char"/>
    <w:basedOn w:val="15"/>
    <w:qFormat/>
    <w:uiPriority w:val="0"/>
    <w:rPr>
      <w:rFonts w:ascii="Times New Roman" w:hAnsi="Times New Roman" w:eastAsia="宋体" w:cs="宋体"/>
      <w:b/>
      <w:kern w:val="2"/>
      <w:sz w:val="24"/>
      <w:lang w:bidi="ar-SA"/>
    </w:rPr>
  </w:style>
  <w:style w:type="paragraph" w:customStyle="1" w:styleId="19">
    <w:name w:val="表格字体文本"/>
    <w:basedOn w:val="1"/>
    <w:next w:val="1"/>
    <w:qFormat/>
    <w:uiPriority w:val="0"/>
    <w:pPr>
      <w:jc w:val="center"/>
    </w:pPr>
    <w:rPr>
      <w:rFonts w:ascii="Times New Roman" w:hAnsi="Times New Roman" w:eastAsia="宋体" w:cs="宋体"/>
      <w:sz w:val="21"/>
      <w:szCs w:val="2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2021-09-11T02:31:00Z</dcterms:created>
  <dc:creator>Administrator</dc:creator>
  <cp:lastModifiedBy>Administrator</cp:lastModifiedBy>
  <dcterms:modified xsi:type="dcterms:W3CDTF">2021-09-22T07:51:00Z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BE1FA464B03140FB9F104AD7017FA609</vt:lpwstr>
  </property>
</Properties>
</file>