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楷体" w:eastAsia="楷体_GB2312"/>
          <w:b/>
          <w:sz w:val="36"/>
          <w:szCs w:val="36"/>
        </w:rPr>
      </w:pPr>
      <w:bookmarkStart w:id="0" w:name="_GoBack"/>
      <w:r>
        <w:rPr>
          <w:rFonts w:hint="eastAsia" w:ascii="楷体_GB2312" w:hAnsi="楷体" w:eastAsia="楷体_GB2312" w:cs="Times New Roman"/>
          <w:b/>
          <w:sz w:val="36"/>
          <w:szCs w:val="36"/>
        </w:rPr>
        <w:t>旌德中锐砂石有限责任公司</w:t>
      </w:r>
      <w:r>
        <w:rPr>
          <w:rFonts w:hint="eastAsia" w:ascii="楷体_GB2312" w:hAnsi="楷体" w:eastAsia="楷体_GB2312" w:cs="Times New Roman"/>
          <w:b/>
          <w:sz w:val="36"/>
          <w:szCs w:val="36"/>
        </w:rPr>
        <w:t>年产120万吨新型建材项目</w:t>
      </w:r>
      <w:r>
        <w:rPr>
          <w:rFonts w:hint="eastAsia" w:ascii="楷体_GB2312" w:hAnsi="楷体" w:eastAsia="楷体_GB2312" w:cs="Times New Roman"/>
          <w:b/>
          <w:sz w:val="36"/>
          <w:szCs w:val="36"/>
        </w:rPr>
        <w:t>竣</w:t>
      </w:r>
      <w:r>
        <w:rPr>
          <w:rFonts w:hint="eastAsia" w:ascii="楷体_GB2312" w:hAnsi="楷体" w:eastAsia="楷体_GB2312" w:cs="Times New Roman"/>
          <w:b/>
          <w:sz w:val="36"/>
          <w:szCs w:val="36"/>
        </w:rPr>
        <w:t>工</w:t>
      </w:r>
      <w:r>
        <w:rPr>
          <w:rFonts w:hint="eastAsia" w:ascii="楷体_GB2312" w:hAnsi="楷体" w:eastAsia="楷体_GB2312"/>
          <w:b/>
          <w:sz w:val="36"/>
          <w:szCs w:val="36"/>
        </w:rPr>
        <w:t>环境保护验收意见</w:t>
      </w:r>
    </w:p>
    <w:bookmarkEnd w:id="0"/>
    <w:p>
      <w:pPr>
        <w:jc w:val="center"/>
        <w:rPr>
          <w:rFonts w:hint="eastAsia" w:ascii="楷体_GB2312" w:hAnsi="楷体" w:eastAsia="楷体_GB2312"/>
          <w:b/>
          <w:sz w:val="36"/>
          <w:szCs w:val="36"/>
        </w:rPr>
      </w:pPr>
    </w:p>
    <w:p>
      <w:pPr>
        <w:spacing w:line="460" w:lineRule="exact"/>
        <w:ind w:firstLine="560" w:firstLineChars="200"/>
        <w:textAlignment w:val="baseline"/>
        <w:rPr>
          <w:rFonts w:hint="eastAsia" w:ascii="楷体_GB2312" w:hAnsi="楷体" w:eastAsia="楷体_GB2312"/>
          <w:color w:val="000000"/>
          <w:sz w:val="28"/>
          <w:szCs w:val="28"/>
        </w:rPr>
      </w:pPr>
      <w:r>
        <w:rPr>
          <w:rFonts w:hint="eastAsia" w:ascii="楷体_GB2312" w:hAnsi="楷体" w:eastAsia="楷体_GB2312"/>
          <w:color w:val="000000"/>
          <w:sz w:val="28"/>
          <w:szCs w:val="28"/>
        </w:rPr>
        <w:t>2022年</w:t>
      </w:r>
      <w:r>
        <w:rPr>
          <w:rFonts w:hint="eastAsia" w:ascii="楷体_GB2312" w:hAnsi="楷体" w:eastAsia="楷体_GB2312"/>
          <w:color w:val="000000"/>
          <w:sz w:val="28"/>
          <w:szCs w:val="28"/>
          <w:lang w:val="en-US" w:eastAsia="zh-CN"/>
        </w:rPr>
        <w:t>4</w:t>
      </w:r>
      <w:r>
        <w:rPr>
          <w:rFonts w:hint="eastAsia" w:ascii="楷体_GB2312" w:hAnsi="楷体" w:eastAsia="楷体_GB2312"/>
          <w:color w:val="000000"/>
          <w:sz w:val="28"/>
          <w:szCs w:val="28"/>
        </w:rPr>
        <w:t>月</w:t>
      </w:r>
      <w:r>
        <w:rPr>
          <w:rFonts w:hint="eastAsia" w:ascii="楷体_GB2312" w:hAnsi="楷体" w:eastAsia="楷体_GB2312"/>
          <w:color w:val="000000"/>
          <w:sz w:val="28"/>
          <w:szCs w:val="28"/>
          <w:lang w:val="en-US" w:eastAsia="zh-CN"/>
        </w:rPr>
        <w:t>28</w:t>
      </w:r>
      <w:r>
        <w:rPr>
          <w:rFonts w:hint="eastAsia" w:ascii="楷体_GB2312" w:hAnsi="楷体" w:eastAsia="楷体_GB2312" w:cs="Times New Roman"/>
          <w:color w:val="000000"/>
          <w:sz w:val="28"/>
          <w:szCs w:val="28"/>
        </w:rPr>
        <w:t>日</w:t>
      </w:r>
      <w:r>
        <w:rPr>
          <w:rFonts w:hint="eastAsia" w:ascii="楷体_GB2312" w:hAnsi="楷体" w:eastAsia="楷体_GB2312" w:cs="Times New Roman"/>
          <w:color w:val="000000"/>
          <w:sz w:val="28"/>
          <w:szCs w:val="28"/>
        </w:rPr>
        <w:t>，旌德中锐砂石有限责任公司根据《旌德中锐砂石有限责任公司年产120万吨新型建材项目</w:t>
      </w:r>
      <w:r>
        <w:rPr>
          <w:rFonts w:hint="eastAsia" w:ascii="楷体_GB2312" w:hAnsi="楷体" w:eastAsia="楷体_GB2312" w:cs="Times New Roman"/>
          <w:color w:val="000000"/>
          <w:sz w:val="28"/>
          <w:szCs w:val="28"/>
        </w:rPr>
        <w:t>竣</w:t>
      </w:r>
      <w:r>
        <w:rPr>
          <w:rFonts w:hint="eastAsia" w:ascii="楷体_GB2312" w:hAnsi="楷体" w:eastAsia="楷体_GB2312"/>
          <w:color w:val="000000"/>
          <w:sz w:val="28"/>
          <w:szCs w:val="28"/>
        </w:rPr>
        <w:t>工环境保护验收监测报告表》并对照《建设项目竣工环境保护验收暂行办法》，严格依照国家有关法律法规、建设项目竣工环境保护验收技术指南/污染影响类、本项目环境影响报告表和审批部门审批决定等要求对本项目进行验收，提出意见如下：</w:t>
      </w:r>
    </w:p>
    <w:p>
      <w:pPr>
        <w:snapToGrid w:val="0"/>
        <w:spacing w:line="460" w:lineRule="exact"/>
        <w:ind w:firstLine="560" w:firstLineChars="200"/>
        <w:textAlignment w:val="baseline"/>
        <w:rPr>
          <w:rFonts w:hint="eastAsia" w:ascii="楷体_GB2312" w:hAnsi="楷体" w:eastAsia="楷体_GB2312"/>
          <w:color w:val="000000"/>
          <w:sz w:val="28"/>
          <w:szCs w:val="28"/>
        </w:rPr>
      </w:pPr>
      <w:r>
        <w:rPr>
          <w:rFonts w:hint="eastAsia" w:ascii="楷体_GB2312" w:hAnsi="楷体" w:eastAsia="楷体_GB2312"/>
          <w:color w:val="000000"/>
          <w:sz w:val="28"/>
          <w:szCs w:val="28"/>
        </w:rPr>
        <w:t>一、项目基本情况</w:t>
      </w:r>
    </w:p>
    <w:p>
      <w:pPr>
        <w:snapToGrid w:val="0"/>
        <w:spacing w:line="460" w:lineRule="exact"/>
        <w:ind w:firstLine="560" w:firstLineChars="200"/>
        <w:textAlignment w:val="baseline"/>
        <w:rPr>
          <w:rFonts w:hint="eastAsia" w:ascii="楷体_GB2312" w:hAnsi="楷体" w:eastAsia="楷体_GB2312"/>
          <w:color w:val="000000"/>
          <w:sz w:val="28"/>
          <w:szCs w:val="28"/>
        </w:rPr>
      </w:pPr>
      <w:r>
        <w:rPr>
          <w:rFonts w:hint="eastAsia" w:ascii="楷体_GB2312" w:hAnsi="楷体" w:eastAsia="楷体_GB2312"/>
          <w:color w:val="000000"/>
          <w:sz w:val="28"/>
          <w:szCs w:val="28"/>
        </w:rPr>
        <w:t>（一）主要建设内容</w:t>
      </w:r>
    </w:p>
    <w:p>
      <w:pPr>
        <w:spacing w:line="460" w:lineRule="exact"/>
        <w:ind w:firstLine="560" w:firstLineChars="200"/>
        <w:textAlignment w:val="baseline"/>
        <w:rPr>
          <w:rFonts w:hint="eastAsia" w:ascii="楷体_GB2312" w:hAnsi="楷体" w:eastAsia="楷体_GB2312"/>
          <w:color w:val="000000"/>
          <w:kern w:val="0"/>
          <w:sz w:val="28"/>
          <w:szCs w:val="28"/>
        </w:rPr>
      </w:pPr>
      <w:r>
        <w:rPr>
          <w:rFonts w:hint="eastAsia" w:ascii="楷体_GB2312" w:hAnsi="楷体" w:eastAsia="楷体_GB2312" w:cs="Times New Roman"/>
          <w:color w:val="000000"/>
          <w:sz w:val="28"/>
          <w:szCs w:val="28"/>
        </w:rPr>
        <w:t>旌德中锐砂石有限责任公司年产120万吨新型建材项目选址于</w:t>
      </w:r>
      <w:r>
        <w:rPr>
          <w:rFonts w:hint="eastAsia" w:ascii="楷体_GB2312" w:hAnsi="楷体" w:eastAsia="楷体_GB2312" w:cs="Times New Roman"/>
          <w:color w:val="000000"/>
          <w:sz w:val="28"/>
          <w:szCs w:val="28"/>
          <w:lang w:val="en-US" w:eastAsia="zh-CN"/>
        </w:rPr>
        <w:t>安徽省旌德县俞村镇尚村工业园</w:t>
      </w:r>
      <w:r>
        <w:rPr>
          <w:rFonts w:hint="eastAsia" w:ascii="楷体_GB2312" w:hAnsi="楷体" w:eastAsia="楷体_GB2312" w:cs="Times New Roman"/>
          <w:color w:val="000000"/>
          <w:kern w:val="0"/>
          <w:sz w:val="28"/>
          <w:szCs w:val="28"/>
        </w:rPr>
        <w:t>。配置配套</w:t>
      </w:r>
      <w:r>
        <w:rPr>
          <w:rFonts w:hint="eastAsia" w:ascii="楷体_GB2312" w:hAnsi="楷体" w:eastAsia="楷体_GB2312" w:cs="Times New Roman"/>
          <w:color w:val="000000"/>
          <w:kern w:val="0"/>
          <w:sz w:val="28"/>
          <w:szCs w:val="28"/>
          <w:lang w:val="en-US" w:eastAsia="zh-CN"/>
        </w:rPr>
        <w:t>制砂机、洗砂机、振动筛、给料机、破碎机等设备30台套</w:t>
      </w:r>
      <w:r>
        <w:rPr>
          <w:rFonts w:hint="eastAsia" w:ascii="楷体_GB2312" w:hAnsi="楷体" w:eastAsia="楷体_GB2312" w:cs="Times New Roman"/>
          <w:color w:val="000000"/>
          <w:kern w:val="0"/>
          <w:sz w:val="28"/>
          <w:szCs w:val="28"/>
        </w:rPr>
        <w:t>设施，配套建设（或依托现有）辅助、公用、储运和环保工程等。项目建成</w:t>
      </w:r>
      <w:r>
        <w:rPr>
          <w:rFonts w:hint="eastAsia" w:ascii="楷体_GB2312" w:hAnsi="楷体" w:eastAsia="楷体_GB2312"/>
          <w:color w:val="000000"/>
          <w:sz w:val="28"/>
          <w:szCs w:val="28"/>
        </w:rPr>
        <w:t>达产后，可形成</w:t>
      </w:r>
      <w:r>
        <w:rPr>
          <w:rFonts w:hint="eastAsia" w:ascii="楷体_GB2312" w:hAnsi="楷体" w:eastAsia="楷体_GB2312" w:cs="Times New Roman"/>
          <w:color w:val="000000"/>
          <w:sz w:val="28"/>
          <w:szCs w:val="28"/>
        </w:rPr>
        <w:t>年产120万吨新型建材</w:t>
      </w:r>
      <w:r>
        <w:rPr>
          <w:rFonts w:hint="eastAsia" w:ascii="楷体_GB2312" w:hAnsi="楷体" w:eastAsia="楷体_GB2312"/>
          <w:color w:val="000000"/>
          <w:sz w:val="28"/>
          <w:szCs w:val="28"/>
        </w:rPr>
        <w:t>的生产能力</w:t>
      </w:r>
      <w:r>
        <w:rPr>
          <w:rFonts w:hint="eastAsia" w:ascii="楷体_GB2312" w:hAnsi="楷体" w:eastAsia="楷体_GB2312" w:cs="Times New Roman"/>
          <w:color w:val="000000"/>
          <w:kern w:val="0"/>
          <w:sz w:val="28"/>
          <w:szCs w:val="28"/>
        </w:rPr>
        <w:t>。系</w:t>
      </w:r>
      <w:r>
        <w:rPr>
          <w:rFonts w:hint="eastAsia" w:ascii="楷体_GB2312" w:hAnsi="楷体" w:eastAsia="楷体_GB2312" w:cs="Times New Roman"/>
          <w:color w:val="000000"/>
          <w:kern w:val="0"/>
          <w:sz w:val="28"/>
          <w:szCs w:val="28"/>
          <w:lang w:val="en-US" w:eastAsia="zh-CN"/>
        </w:rPr>
        <w:t>新建</w:t>
      </w:r>
      <w:r>
        <w:rPr>
          <w:rFonts w:hint="eastAsia" w:ascii="楷体_GB2312" w:hAnsi="楷体" w:eastAsia="楷体_GB2312" w:cs="Times New Roman"/>
          <w:color w:val="000000"/>
          <w:kern w:val="0"/>
          <w:sz w:val="28"/>
          <w:szCs w:val="28"/>
        </w:rPr>
        <w:t>性</w:t>
      </w:r>
      <w:r>
        <w:rPr>
          <w:rFonts w:hint="eastAsia" w:ascii="楷体_GB2312" w:hAnsi="楷体" w:eastAsia="楷体_GB2312"/>
          <w:color w:val="000000"/>
          <w:kern w:val="0"/>
          <w:sz w:val="28"/>
          <w:szCs w:val="28"/>
        </w:rPr>
        <w:t>质。</w:t>
      </w:r>
    </w:p>
    <w:p>
      <w:pPr>
        <w:spacing w:line="460" w:lineRule="exact"/>
        <w:ind w:firstLine="560" w:firstLineChars="200"/>
        <w:textAlignment w:val="baseline"/>
        <w:rPr>
          <w:rFonts w:hint="eastAsia" w:ascii="楷体_GB2312" w:hAnsi="楷体" w:eastAsia="楷体_GB2312"/>
          <w:color w:val="000000"/>
          <w:sz w:val="28"/>
          <w:szCs w:val="28"/>
        </w:rPr>
      </w:pPr>
      <w:r>
        <w:rPr>
          <w:rFonts w:hint="eastAsia" w:ascii="楷体_GB2312" w:hAnsi="楷体" w:eastAsia="楷体_GB2312"/>
          <w:color w:val="000000"/>
          <w:sz w:val="28"/>
          <w:szCs w:val="28"/>
        </w:rPr>
        <w:t>（二）建设过程及环保审批情况</w:t>
      </w:r>
    </w:p>
    <w:p>
      <w:pPr>
        <w:pStyle w:val="6"/>
        <w:spacing w:line="460" w:lineRule="exact"/>
        <w:ind w:firstLine="560" w:firstLineChars="200"/>
        <w:rPr>
          <w:rFonts w:hint="eastAsia" w:ascii="楷体_GB2312" w:hAnsi="楷体" w:eastAsia="楷体_GB2312"/>
          <w:color w:val="auto"/>
          <w:sz w:val="28"/>
          <w:szCs w:val="28"/>
        </w:rPr>
      </w:pPr>
      <w:r>
        <w:rPr>
          <w:rFonts w:hint="eastAsia" w:ascii="楷体_GB2312" w:hAnsi="楷体" w:eastAsia="楷体_GB2312" w:cs="宋体"/>
          <w:sz w:val="28"/>
          <w:szCs w:val="28"/>
        </w:rPr>
        <w:t>20</w:t>
      </w:r>
      <w:r>
        <w:rPr>
          <w:rFonts w:hint="eastAsia" w:ascii="楷体_GB2312" w:hAnsi="楷体" w:eastAsia="楷体_GB2312" w:cs="宋体"/>
          <w:sz w:val="28"/>
          <w:szCs w:val="28"/>
          <w:lang w:val="en-US" w:eastAsia="zh-CN"/>
        </w:rPr>
        <w:t>21</w:t>
      </w:r>
      <w:r>
        <w:rPr>
          <w:rFonts w:hint="eastAsia" w:ascii="楷体_GB2312" w:hAnsi="楷体" w:eastAsia="楷体_GB2312" w:cs="宋体"/>
          <w:sz w:val="28"/>
          <w:szCs w:val="28"/>
        </w:rPr>
        <w:t>年</w:t>
      </w:r>
      <w:r>
        <w:rPr>
          <w:rFonts w:hint="eastAsia" w:ascii="楷体_GB2312" w:hAnsi="楷体" w:eastAsia="楷体_GB2312" w:cs="宋体"/>
          <w:sz w:val="28"/>
          <w:szCs w:val="28"/>
          <w:lang w:val="en-US" w:eastAsia="zh-CN"/>
        </w:rPr>
        <w:t>7</w:t>
      </w:r>
      <w:r>
        <w:rPr>
          <w:rFonts w:hint="eastAsia" w:ascii="楷体_GB2312" w:hAnsi="楷体" w:eastAsia="楷体_GB2312" w:cs="宋体"/>
          <w:sz w:val="28"/>
          <w:szCs w:val="28"/>
        </w:rPr>
        <w:t>月，宁国市经信委为本项目备案(项目编码：2107-341825-04-01-585557)</w:t>
      </w:r>
      <w:r>
        <w:rPr>
          <w:rFonts w:hint="eastAsia" w:ascii="楷体_GB2312" w:hAnsi="楷体" w:eastAsia="楷体_GB2312"/>
          <w:sz w:val="28"/>
          <w:szCs w:val="28"/>
        </w:rPr>
        <w:t>，</w:t>
      </w:r>
      <w:r>
        <w:rPr>
          <w:rFonts w:hint="eastAsia" w:ascii="楷体_GB2312" w:hAnsi="楷体" w:eastAsia="楷体_GB2312"/>
          <w:color w:val="auto"/>
          <w:sz w:val="28"/>
          <w:szCs w:val="28"/>
        </w:rPr>
        <w:t>公司于2</w:t>
      </w:r>
      <w:r>
        <w:rPr>
          <w:rFonts w:hint="eastAsia" w:ascii="楷体_GB2312" w:hAnsi="楷体" w:eastAsia="楷体_GB2312" w:cs="Times New Roman"/>
          <w:sz w:val="28"/>
          <w:szCs w:val="28"/>
        </w:rPr>
        <w:t>0</w:t>
      </w:r>
      <w:r>
        <w:rPr>
          <w:rFonts w:hint="eastAsia" w:ascii="楷体_GB2312" w:hAnsi="楷体" w:eastAsia="楷体_GB2312" w:cs="Times New Roman"/>
          <w:sz w:val="28"/>
          <w:szCs w:val="28"/>
          <w:lang w:val="en-US" w:eastAsia="zh-CN"/>
        </w:rPr>
        <w:t>21</w:t>
      </w:r>
      <w:r>
        <w:rPr>
          <w:rFonts w:hint="eastAsia" w:ascii="楷体_GB2312" w:hAnsi="楷体" w:eastAsia="楷体_GB2312" w:cs="Times New Roman"/>
          <w:sz w:val="28"/>
          <w:szCs w:val="28"/>
        </w:rPr>
        <w:t>年</w:t>
      </w:r>
      <w:r>
        <w:rPr>
          <w:rFonts w:hint="eastAsia" w:ascii="楷体_GB2312" w:hAnsi="楷体" w:eastAsia="楷体_GB2312" w:cs="Times New Roman"/>
          <w:sz w:val="28"/>
          <w:szCs w:val="28"/>
          <w:lang w:val="en-US" w:eastAsia="zh-CN"/>
        </w:rPr>
        <w:t>8</w:t>
      </w:r>
      <w:r>
        <w:rPr>
          <w:rFonts w:hint="eastAsia" w:ascii="楷体_GB2312" w:hAnsi="楷体" w:eastAsia="楷体_GB2312" w:cs="Times New Roman"/>
          <w:sz w:val="28"/>
          <w:szCs w:val="28"/>
        </w:rPr>
        <w:t>月委托</w:t>
      </w:r>
      <w:r>
        <w:rPr>
          <w:rFonts w:hint="eastAsia" w:ascii="楷体_GB2312" w:hAnsi="楷体" w:eastAsia="楷体_GB2312" w:cs="Times New Roman"/>
          <w:sz w:val="28"/>
          <w:szCs w:val="28"/>
          <w:lang w:val="en-US" w:eastAsia="zh-CN"/>
        </w:rPr>
        <w:t>河北启沙环保科技有限公司编制《</w:t>
      </w:r>
      <w:r>
        <w:rPr>
          <w:rFonts w:hint="eastAsia" w:ascii="楷体_GB2312" w:hAnsi="楷体" w:eastAsia="楷体_GB2312" w:cs="Times New Roman"/>
          <w:sz w:val="28"/>
          <w:szCs w:val="28"/>
        </w:rPr>
        <w:t>旌德中锐砂石有限责任公司年产120万吨新型建材项目环境影响报告表》。</w:t>
      </w:r>
      <w:r>
        <w:rPr>
          <w:rFonts w:hint="eastAsia" w:ascii="楷体_GB2312" w:hAnsi="楷体" w:eastAsia="楷体_GB2312" w:cs="Times New Roman"/>
          <w:sz w:val="28"/>
          <w:szCs w:val="28"/>
          <w:lang w:val="en-US" w:eastAsia="zh-CN"/>
        </w:rPr>
        <w:t>旌德县</w:t>
      </w:r>
      <w:r>
        <w:rPr>
          <w:rFonts w:hint="eastAsia" w:ascii="楷体_GB2312" w:hAnsi="楷体" w:eastAsia="楷体_GB2312" w:cs="Times New Roman"/>
          <w:sz w:val="28"/>
          <w:szCs w:val="28"/>
        </w:rPr>
        <w:t>生态环境分局于20</w:t>
      </w:r>
      <w:r>
        <w:rPr>
          <w:rFonts w:hint="eastAsia" w:ascii="楷体_GB2312" w:hAnsi="楷体" w:eastAsia="楷体_GB2312" w:cs="Times New Roman"/>
          <w:sz w:val="28"/>
          <w:szCs w:val="28"/>
          <w:lang w:val="en-US" w:eastAsia="zh-CN"/>
        </w:rPr>
        <w:t>21</w:t>
      </w:r>
      <w:r>
        <w:rPr>
          <w:rFonts w:hint="eastAsia" w:ascii="楷体_GB2312" w:hAnsi="楷体" w:eastAsia="楷体_GB2312" w:cs="Times New Roman"/>
          <w:sz w:val="28"/>
          <w:szCs w:val="28"/>
        </w:rPr>
        <w:t>年</w:t>
      </w:r>
      <w:r>
        <w:rPr>
          <w:rFonts w:hint="eastAsia" w:ascii="楷体_GB2312" w:hAnsi="楷体" w:eastAsia="楷体_GB2312" w:cs="Times New Roman"/>
          <w:sz w:val="28"/>
          <w:szCs w:val="28"/>
          <w:lang w:val="en-US" w:eastAsia="zh-CN"/>
        </w:rPr>
        <w:t>8</w:t>
      </w:r>
      <w:r>
        <w:rPr>
          <w:rFonts w:hint="eastAsia" w:ascii="楷体_GB2312" w:hAnsi="楷体" w:eastAsia="楷体_GB2312" w:cs="Times New Roman"/>
          <w:sz w:val="28"/>
          <w:szCs w:val="28"/>
        </w:rPr>
        <w:t>月</w:t>
      </w:r>
      <w:r>
        <w:rPr>
          <w:rFonts w:hint="eastAsia" w:ascii="楷体_GB2312" w:hAnsi="楷体" w:eastAsia="楷体_GB2312" w:cs="Times New Roman"/>
          <w:sz w:val="28"/>
          <w:szCs w:val="28"/>
          <w:lang w:val="en-US" w:eastAsia="zh-CN"/>
        </w:rPr>
        <w:t>23</w:t>
      </w:r>
      <w:r>
        <w:rPr>
          <w:rFonts w:hint="eastAsia" w:ascii="楷体_GB2312" w:hAnsi="楷体" w:eastAsia="楷体_GB2312" w:cs="Times New Roman"/>
          <w:sz w:val="28"/>
          <w:szCs w:val="28"/>
        </w:rPr>
        <w:t>日以文（</w:t>
      </w:r>
      <w:r>
        <w:rPr>
          <w:rFonts w:hint="eastAsia" w:ascii="楷体_GB2312" w:hAnsi="楷体" w:eastAsia="楷体_GB2312" w:cs="Times New Roman"/>
          <w:sz w:val="28"/>
          <w:szCs w:val="28"/>
          <w:lang w:val="en-US" w:eastAsia="zh-CN"/>
        </w:rPr>
        <w:t>旌环</w:t>
      </w:r>
      <w:r>
        <w:rPr>
          <w:rFonts w:hint="eastAsia" w:ascii="楷体_GB2312" w:hAnsi="楷体" w:eastAsia="楷体_GB2312" w:cs="Times New Roman"/>
          <w:sz w:val="28"/>
          <w:szCs w:val="28"/>
        </w:rPr>
        <w:t>批[20</w:t>
      </w:r>
      <w:r>
        <w:rPr>
          <w:rFonts w:hint="eastAsia" w:ascii="楷体_GB2312" w:hAnsi="楷体" w:eastAsia="楷体_GB2312" w:cs="Times New Roman"/>
          <w:sz w:val="28"/>
          <w:szCs w:val="28"/>
          <w:lang w:val="en-US" w:eastAsia="zh-CN"/>
        </w:rPr>
        <w:t>21</w:t>
      </w:r>
      <w:r>
        <w:rPr>
          <w:rFonts w:hint="eastAsia" w:ascii="楷体_GB2312" w:hAnsi="楷体" w:eastAsia="楷体_GB2312" w:cs="Times New Roman"/>
          <w:sz w:val="28"/>
          <w:szCs w:val="28"/>
        </w:rPr>
        <w:t>]</w:t>
      </w:r>
      <w:r>
        <w:rPr>
          <w:rFonts w:hint="eastAsia" w:ascii="楷体_GB2312" w:hAnsi="楷体" w:eastAsia="楷体_GB2312" w:cs="Times New Roman"/>
          <w:sz w:val="28"/>
          <w:szCs w:val="28"/>
          <w:lang w:val="en-US" w:eastAsia="zh-CN"/>
        </w:rPr>
        <w:t>18</w:t>
      </w:r>
      <w:r>
        <w:rPr>
          <w:rFonts w:hint="eastAsia" w:ascii="楷体_GB2312" w:hAnsi="楷体" w:eastAsia="楷体_GB2312" w:cs="Times New Roman"/>
          <w:sz w:val="28"/>
          <w:szCs w:val="28"/>
        </w:rPr>
        <w:t>号）对上报的环评文件予以</w:t>
      </w:r>
      <w:r>
        <w:rPr>
          <w:rFonts w:hint="eastAsia" w:ascii="楷体_GB2312" w:hAnsi="楷体" w:eastAsia="楷体_GB2312"/>
          <w:sz w:val="28"/>
          <w:szCs w:val="28"/>
        </w:rPr>
        <w:t>批复，同意项目建设</w:t>
      </w:r>
      <w:r>
        <w:rPr>
          <w:rFonts w:hint="eastAsia" w:ascii="楷体_GB2312" w:hAnsi="楷体" w:eastAsia="楷体_GB2312"/>
          <w:color w:val="auto"/>
          <w:sz w:val="28"/>
          <w:szCs w:val="28"/>
        </w:rPr>
        <w:t>。项目于202</w:t>
      </w:r>
      <w:r>
        <w:rPr>
          <w:rFonts w:hint="eastAsia" w:ascii="楷体_GB2312" w:hAnsi="楷体" w:eastAsia="楷体_GB2312"/>
          <w:color w:val="auto"/>
          <w:sz w:val="28"/>
          <w:szCs w:val="28"/>
          <w:lang w:val="en-US" w:eastAsia="zh-CN"/>
        </w:rPr>
        <w:t>1</w:t>
      </w:r>
      <w:r>
        <w:rPr>
          <w:rFonts w:hint="eastAsia" w:ascii="楷体_GB2312" w:hAnsi="楷体" w:eastAsia="楷体_GB2312"/>
          <w:color w:val="auto"/>
          <w:sz w:val="28"/>
          <w:szCs w:val="28"/>
        </w:rPr>
        <w:t>年</w:t>
      </w:r>
      <w:r>
        <w:rPr>
          <w:rFonts w:hint="eastAsia" w:ascii="楷体_GB2312" w:hAnsi="楷体" w:eastAsia="楷体_GB2312"/>
          <w:color w:val="auto"/>
          <w:sz w:val="28"/>
          <w:szCs w:val="28"/>
          <w:lang w:val="en-US" w:eastAsia="zh-CN"/>
        </w:rPr>
        <w:t>9</w:t>
      </w:r>
      <w:r>
        <w:rPr>
          <w:rFonts w:hint="eastAsia" w:ascii="楷体_GB2312" w:hAnsi="楷体" w:eastAsia="楷体_GB2312"/>
          <w:color w:val="auto"/>
          <w:sz w:val="28"/>
          <w:szCs w:val="28"/>
        </w:rPr>
        <w:t>月开工建设，</w:t>
      </w:r>
      <w:r>
        <w:rPr>
          <w:rFonts w:hint="eastAsia" w:ascii="楷体_GB2312" w:hAnsi="楷体" w:eastAsia="楷体_GB2312"/>
          <w:sz w:val="28"/>
          <w:szCs w:val="28"/>
        </w:rPr>
        <w:t>202</w:t>
      </w:r>
      <w:r>
        <w:rPr>
          <w:rFonts w:hint="eastAsia" w:ascii="楷体_GB2312" w:hAnsi="楷体" w:eastAsia="楷体_GB2312"/>
          <w:sz w:val="28"/>
          <w:szCs w:val="28"/>
          <w:lang w:val="en-US" w:eastAsia="zh-CN"/>
        </w:rPr>
        <w:t>2</w:t>
      </w:r>
      <w:r>
        <w:rPr>
          <w:rFonts w:hint="eastAsia" w:ascii="楷体_GB2312" w:hAnsi="楷体" w:eastAsia="楷体_GB2312"/>
          <w:sz w:val="28"/>
          <w:szCs w:val="28"/>
        </w:rPr>
        <w:t>年</w:t>
      </w:r>
      <w:r>
        <w:rPr>
          <w:rFonts w:hint="eastAsia" w:ascii="楷体_GB2312" w:hAnsi="楷体" w:eastAsia="楷体_GB2312"/>
          <w:sz w:val="28"/>
          <w:szCs w:val="28"/>
          <w:lang w:val="en-US" w:eastAsia="zh-CN"/>
        </w:rPr>
        <w:t>1</w:t>
      </w:r>
      <w:r>
        <w:rPr>
          <w:rFonts w:hint="eastAsia" w:ascii="楷体_GB2312" w:hAnsi="楷体" w:eastAsia="楷体_GB2312"/>
          <w:sz w:val="28"/>
          <w:szCs w:val="28"/>
        </w:rPr>
        <w:t>月</w:t>
      </w:r>
      <w:r>
        <w:rPr>
          <w:rFonts w:hint="eastAsia" w:ascii="楷体_GB2312" w:hAnsi="楷体" w:eastAsia="楷体_GB2312"/>
          <w:color w:val="auto"/>
          <w:sz w:val="28"/>
          <w:szCs w:val="28"/>
        </w:rPr>
        <w:t>建成投入试生产。</w:t>
      </w:r>
      <w:r>
        <w:rPr>
          <w:rFonts w:hint="eastAsia" w:ascii="楷体_GB2312" w:hAnsi="楷体" w:eastAsia="楷体_GB2312"/>
          <w:sz w:val="28"/>
          <w:szCs w:val="28"/>
        </w:rPr>
        <w:t>公司于202</w:t>
      </w:r>
      <w:r>
        <w:rPr>
          <w:rFonts w:hint="eastAsia" w:ascii="楷体_GB2312" w:hAnsi="楷体" w:eastAsia="楷体_GB2312"/>
          <w:sz w:val="28"/>
          <w:szCs w:val="28"/>
          <w:lang w:val="en-US" w:eastAsia="zh-CN"/>
        </w:rPr>
        <w:t>2</w:t>
      </w:r>
      <w:r>
        <w:rPr>
          <w:rFonts w:hint="eastAsia" w:ascii="楷体_GB2312" w:hAnsi="楷体" w:eastAsia="楷体_GB2312"/>
          <w:sz w:val="28"/>
          <w:szCs w:val="28"/>
        </w:rPr>
        <w:t>年0</w:t>
      </w:r>
      <w:r>
        <w:rPr>
          <w:rFonts w:hint="eastAsia" w:ascii="楷体_GB2312" w:hAnsi="楷体" w:eastAsia="楷体_GB2312"/>
          <w:sz w:val="28"/>
          <w:szCs w:val="28"/>
          <w:lang w:val="en-US" w:eastAsia="zh-CN"/>
        </w:rPr>
        <w:t>4</w:t>
      </w:r>
      <w:r>
        <w:rPr>
          <w:rFonts w:hint="eastAsia" w:ascii="楷体_GB2312" w:hAnsi="楷体" w:eastAsia="楷体_GB2312"/>
          <w:sz w:val="28"/>
          <w:szCs w:val="28"/>
        </w:rPr>
        <w:t>月</w:t>
      </w:r>
      <w:r>
        <w:rPr>
          <w:rFonts w:hint="eastAsia" w:ascii="楷体_GB2312" w:hAnsi="楷体" w:eastAsia="楷体_GB2312"/>
          <w:sz w:val="28"/>
          <w:szCs w:val="28"/>
          <w:lang w:val="en-US" w:eastAsia="zh-CN"/>
        </w:rPr>
        <w:t>28</w:t>
      </w:r>
      <w:r>
        <w:rPr>
          <w:rFonts w:hint="eastAsia" w:ascii="楷体_GB2312" w:hAnsi="楷体" w:eastAsia="楷体_GB2312"/>
          <w:sz w:val="28"/>
          <w:szCs w:val="28"/>
        </w:rPr>
        <w:t>日办理排污许可手续。</w:t>
      </w:r>
    </w:p>
    <w:p>
      <w:pPr>
        <w:snapToGrid w:val="0"/>
        <w:spacing w:line="460" w:lineRule="exact"/>
        <w:ind w:firstLine="560" w:firstLineChars="200"/>
        <w:textAlignment w:val="baseline"/>
        <w:rPr>
          <w:rFonts w:hint="eastAsia" w:ascii="楷体_GB2312" w:hAnsi="楷体" w:eastAsia="楷体_GB2312"/>
          <w:color w:val="000000"/>
          <w:sz w:val="28"/>
          <w:szCs w:val="28"/>
        </w:rPr>
      </w:pPr>
      <w:r>
        <w:rPr>
          <w:rFonts w:hint="eastAsia" w:ascii="楷体_GB2312" w:hAnsi="楷体" w:eastAsia="楷体_GB2312"/>
          <w:color w:val="000000"/>
          <w:sz w:val="28"/>
          <w:szCs w:val="28"/>
        </w:rPr>
        <w:t>（三）投资情况</w:t>
      </w:r>
    </w:p>
    <w:p>
      <w:pPr>
        <w:spacing w:line="460" w:lineRule="exact"/>
        <w:ind w:firstLine="560" w:firstLineChars="200"/>
        <w:textAlignment w:val="baseline"/>
        <w:rPr>
          <w:rFonts w:hint="eastAsia" w:ascii="楷体_GB2312" w:hAnsi="楷体" w:eastAsia="楷体_GB2312"/>
          <w:color w:val="000000"/>
          <w:sz w:val="28"/>
          <w:szCs w:val="28"/>
        </w:rPr>
      </w:pPr>
      <w:r>
        <w:rPr>
          <w:rFonts w:hint="eastAsia" w:ascii="楷体_GB2312" w:hAnsi="楷体" w:eastAsia="楷体_GB2312"/>
          <w:color w:val="000000"/>
          <w:sz w:val="28"/>
          <w:szCs w:val="28"/>
        </w:rPr>
        <w:t>项目计划总投资</w:t>
      </w:r>
      <w:r>
        <w:rPr>
          <w:rFonts w:hint="eastAsia" w:ascii="楷体_GB2312" w:hAnsi="楷体" w:eastAsia="楷体_GB2312"/>
          <w:color w:val="000000"/>
          <w:sz w:val="28"/>
          <w:szCs w:val="28"/>
          <w:lang w:val="en-US" w:eastAsia="zh-CN"/>
        </w:rPr>
        <w:t>30</w:t>
      </w:r>
      <w:r>
        <w:rPr>
          <w:rFonts w:hint="eastAsia" w:ascii="楷体_GB2312" w:hAnsi="楷体" w:eastAsia="楷体_GB2312"/>
          <w:color w:val="000000"/>
          <w:sz w:val="28"/>
          <w:szCs w:val="28"/>
        </w:rPr>
        <w:t>00万元，实际总投资</w:t>
      </w:r>
      <w:r>
        <w:rPr>
          <w:rFonts w:hint="eastAsia" w:ascii="楷体_GB2312" w:hAnsi="楷体" w:eastAsia="楷体_GB2312"/>
          <w:color w:val="000000"/>
          <w:sz w:val="28"/>
          <w:szCs w:val="28"/>
          <w:lang w:val="en-US" w:eastAsia="zh-CN"/>
        </w:rPr>
        <w:t>3000</w:t>
      </w:r>
      <w:r>
        <w:rPr>
          <w:rFonts w:hint="eastAsia" w:ascii="楷体_GB2312" w:hAnsi="楷体" w:eastAsia="楷体_GB2312"/>
          <w:color w:val="000000"/>
          <w:sz w:val="28"/>
          <w:szCs w:val="28"/>
        </w:rPr>
        <w:t>万元，实际环保投资</w:t>
      </w:r>
      <w:r>
        <w:rPr>
          <w:rFonts w:hint="eastAsia" w:ascii="楷体_GB2312" w:hAnsi="楷体" w:eastAsia="楷体_GB2312"/>
          <w:color w:val="000000"/>
          <w:sz w:val="28"/>
          <w:szCs w:val="28"/>
          <w:lang w:val="en-US" w:eastAsia="zh-CN"/>
        </w:rPr>
        <w:t>90</w:t>
      </w:r>
      <w:r>
        <w:rPr>
          <w:rFonts w:hint="eastAsia" w:ascii="楷体_GB2312" w:hAnsi="楷体" w:eastAsia="楷体_GB2312"/>
          <w:color w:val="000000"/>
          <w:sz w:val="28"/>
          <w:szCs w:val="28"/>
        </w:rPr>
        <w:t>万元，所占比例为</w:t>
      </w:r>
      <w:r>
        <w:rPr>
          <w:rFonts w:hint="eastAsia" w:ascii="楷体_GB2312" w:hAnsi="楷体" w:eastAsia="楷体_GB2312"/>
          <w:color w:val="000000"/>
          <w:sz w:val="28"/>
          <w:szCs w:val="28"/>
          <w:lang w:val="en-US" w:eastAsia="zh-CN"/>
        </w:rPr>
        <w:t>3</w:t>
      </w:r>
      <w:r>
        <w:rPr>
          <w:rFonts w:hint="eastAsia" w:ascii="楷体_GB2312" w:hAnsi="楷体" w:eastAsia="楷体_GB2312"/>
          <w:color w:val="000000"/>
          <w:sz w:val="28"/>
          <w:szCs w:val="28"/>
        </w:rPr>
        <w:t>%。</w:t>
      </w:r>
    </w:p>
    <w:p>
      <w:pPr>
        <w:spacing w:line="460" w:lineRule="exact"/>
        <w:ind w:firstLine="560" w:firstLineChars="200"/>
        <w:textAlignment w:val="baseline"/>
        <w:rPr>
          <w:rFonts w:hint="eastAsia" w:ascii="楷体_GB2312" w:hAnsi="楷体" w:eastAsia="楷体_GB2312"/>
          <w:color w:val="000000"/>
          <w:sz w:val="28"/>
          <w:szCs w:val="28"/>
        </w:rPr>
      </w:pPr>
      <w:r>
        <w:rPr>
          <w:rFonts w:hint="eastAsia" w:ascii="楷体_GB2312" w:hAnsi="楷体" w:eastAsia="楷体_GB2312"/>
          <w:color w:val="000000"/>
          <w:sz w:val="28"/>
          <w:szCs w:val="28"/>
        </w:rPr>
        <w:t>（四）验收范围</w:t>
      </w:r>
    </w:p>
    <w:p>
      <w:pPr>
        <w:spacing w:line="460" w:lineRule="exact"/>
        <w:ind w:firstLine="560" w:firstLineChars="200"/>
        <w:textAlignment w:val="baseline"/>
        <w:rPr>
          <w:rFonts w:hint="eastAsia" w:ascii="楷体_GB2312" w:hAnsi="楷体" w:eastAsia="楷体_GB2312"/>
          <w:color w:val="000000"/>
          <w:kern w:val="0"/>
          <w:sz w:val="28"/>
          <w:szCs w:val="28"/>
        </w:rPr>
      </w:pPr>
      <w:r>
        <w:rPr>
          <w:rFonts w:hint="eastAsia" w:ascii="楷体_GB2312" w:hAnsi="楷体" w:eastAsia="楷体_GB2312"/>
          <w:color w:val="000000"/>
          <w:sz w:val="28"/>
          <w:szCs w:val="28"/>
        </w:rPr>
        <w:t>整体验收。本次验收范围为</w:t>
      </w:r>
      <w:r>
        <w:rPr>
          <w:rFonts w:hint="eastAsia" w:ascii="楷体_GB2312" w:hAnsi="楷体" w:eastAsia="楷体_GB2312" w:cs="Times New Roman"/>
          <w:color w:val="000000"/>
          <w:sz w:val="28"/>
          <w:szCs w:val="28"/>
        </w:rPr>
        <w:t>旌德中锐砂石有限责任公司年产120万吨新型建材项目</w:t>
      </w:r>
      <w:r>
        <w:rPr>
          <w:rFonts w:hint="eastAsia" w:ascii="楷体_GB2312" w:hAnsi="楷体" w:eastAsia="楷体_GB2312"/>
          <w:color w:val="000000"/>
          <w:kern w:val="0"/>
          <w:sz w:val="28"/>
          <w:szCs w:val="28"/>
        </w:rPr>
        <w:t>。</w:t>
      </w:r>
    </w:p>
    <w:p>
      <w:pPr>
        <w:spacing w:line="460" w:lineRule="exact"/>
        <w:ind w:firstLine="560" w:firstLineChars="200"/>
        <w:textAlignment w:val="baseline"/>
        <w:rPr>
          <w:rFonts w:hint="eastAsia" w:ascii="楷体_GB2312" w:hAnsi="楷体" w:eastAsia="楷体_GB2312"/>
          <w:color w:val="000000"/>
          <w:kern w:val="0"/>
          <w:sz w:val="28"/>
          <w:szCs w:val="28"/>
        </w:rPr>
      </w:pPr>
      <w:r>
        <w:rPr>
          <w:rFonts w:hint="eastAsia" w:ascii="楷体_GB2312" w:hAnsi="楷体" w:eastAsia="楷体_GB2312"/>
          <w:color w:val="000000"/>
          <w:kern w:val="0"/>
          <w:sz w:val="28"/>
          <w:szCs w:val="28"/>
        </w:rPr>
        <w:t>食堂未建设，不在本次验收范围内。今后如建设食堂，将同步安装经国家环保产品认定的油烟净化装置，并将油烟监测数据及时对社会公开。</w:t>
      </w:r>
    </w:p>
    <w:p>
      <w:pPr>
        <w:spacing w:line="460" w:lineRule="exact"/>
        <w:ind w:firstLine="560" w:firstLineChars="200"/>
        <w:textAlignment w:val="baseline"/>
        <w:rPr>
          <w:rFonts w:hint="eastAsia" w:ascii="楷体_GB2312" w:hAnsi="楷体" w:eastAsia="楷体_GB2312"/>
          <w:color w:val="000000"/>
          <w:kern w:val="0"/>
          <w:sz w:val="28"/>
          <w:szCs w:val="28"/>
        </w:rPr>
      </w:pPr>
    </w:p>
    <w:p>
      <w:pPr>
        <w:spacing w:line="460" w:lineRule="exact"/>
        <w:ind w:firstLine="560" w:firstLineChars="200"/>
        <w:textAlignment w:val="baseline"/>
        <w:rPr>
          <w:rFonts w:hint="eastAsia" w:ascii="楷体_GB2312" w:hAnsi="楷体" w:eastAsia="楷体_GB2312"/>
          <w:color w:val="000000"/>
          <w:sz w:val="28"/>
          <w:szCs w:val="28"/>
        </w:rPr>
      </w:pPr>
      <w:r>
        <w:rPr>
          <w:rFonts w:hint="eastAsia" w:ascii="楷体_GB2312" w:hAnsi="楷体" w:eastAsia="楷体_GB2312"/>
          <w:color w:val="000000"/>
          <w:sz w:val="28"/>
          <w:szCs w:val="28"/>
        </w:rPr>
        <w:t>二、项目变动情况</w:t>
      </w:r>
    </w:p>
    <w:p>
      <w:pPr>
        <w:autoSpaceDE w:val="0"/>
        <w:autoSpaceDN w:val="0"/>
        <w:adjustRightInd w:val="0"/>
        <w:spacing w:line="460" w:lineRule="exact"/>
        <w:ind w:firstLine="560" w:firstLineChars="200"/>
        <w:rPr>
          <w:rFonts w:hint="eastAsia" w:ascii="楷体_GB2312" w:hAnsi="楷体" w:eastAsia="楷体_GB2312"/>
          <w:color w:val="000000"/>
          <w:sz w:val="28"/>
          <w:szCs w:val="28"/>
        </w:rPr>
      </w:pPr>
      <w:r>
        <w:rPr>
          <w:rFonts w:hint="eastAsia" w:ascii="楷体_GB2312" w:hAnsi="楷体" w:eastAsia="楷体_GB2312"/>
          <w:color w:val="000000"/>
          <w:sz w:val="28"/>
          <w:szCs w:val="28"/>
        </w:rPr>
        <w:t>与环评申报阶段对照，变动情况如下：</w:t>
      </w:r>
    </w:p>
    <w:p>
      <w:pPr>
        <w:autoSpaceDE w:val="0"/>
        <w:autoSpaceDN w:val="0"/>
        <w:adjustRightInd w:val="0"/>
        <w:spacing w:line="460" w:lineRule="exact"/>
        <w:ind w:firstLine="560" w:firstLineChars="200"/>
        <w:rPr>
          <w:rFonts w:hint="eastAsia" w:ascii="楷体_GB2312" w:hAnsi="楷体" w:eastAsia="楷体_GB2312"/>
          <w:sz w:val="28"/>
          <w:szCs w:val="28"/>
        </w:rPr>
      </w:pPr>
      <w:r>
        <w:rPr>
          <w:rFonts w:hint="eastAsia" w:ascii="楷体_GB2312" w:hAnsi="楷体" w:eastAsia="楷体_GB2312"/>
          <w:sz w:val="28"/>
          <w:szCs w:val="28"/>
        </w:rPr>
        <w:t>1.</w:t>
      </w:r>
      <w:r>
        <w:rPr>
          <w:rFonts w:hint="eastAsia" w:ascii="楷体_GB2312" w:hAnsi="楷体" w:eastAsia="楷体_GB2312"/>
          <w:color w:val="000000"/>
          <w:kern w:val="0"/>
          <w:sz w:val="28"/>
          <w:szCs w:val="28"/>
        </w:rPr>
        <w:t>食堂未建设，不在本次验收范围内</w:t>
      </w:r>
      <w:r>
        <w:rPr>
          <w:rFonts w:hint="eastAsia" w:ascii="楷体_GB2312" w:hAnsi="楷体" w:eastAsia="楷体_GB2312"/>
          <w:sz w:val="28"/>
          <w:szCs w:val="28"/>
        </w:rPr>
        <w:t>。</w:t>
      </w:r>
    </w:p>
    <w:p>
      <w:pPr>
        <w:autoSpaceDE w:val="0"/>
        <w:autoSpaceDN w:val="0"/>
        <w:adjustRightInd w:val="0"/>
        <w:spacing w:line="460" w:lineRule="exact"/>
        <w:ind w:firstLine="560" w:firstLineChars="200"/>
        <w:rPr>
          <w:rFonts w:hint="eastAsia" w:ascii="楷体_GB2312" w:hAnsi="楷体" w:eastAsia="楷体_GB2312"/>
          <w:snapToGrid w:val="0"/>
          <w:kern w:val="18"/>
          <w:sz w:val="28"/>
          <w:szCs w:val="28"/>
        </w:rPr>
      </w:pPr>
      <w:r>
        <w:rPr>
          <w:rFonts w:hint="eastAsia" w:ascii="楷体_GB2312" w:hAnsi="楷体" w:eastAsia="楷体_GB2312"/>
          <w:color w:val="000000"/>
          <w:sz w:val="28"/>
          <w:szCs w:val="28"/>
        </w:rPr>
        <w:t>其它建设内容与环评阶段基本一致，未出现重大变动</w:t>
      </w:r>
      <w:r>
        <w:rPr>
          <w:rFonts w:hint="eastAsia" w:ascii="楷体_GB2312" w:hAnsi="楷体" w:eastAsia="楷体_GB2312" w:cs="仿宋"/>
          <w:color w:val="000000"/>
          <w:sz w:val="28"/>
          <w:szCs w:val="28"/>
        </w:rPr>
        <w:t>。</w:t>
      </w:r>
    </w:p>
    <w:p>
      <w:pPr>
        <w:spacing w:line="460" w:lineRule="exact"/>
        <w:textAlignment w:val="baseline"/>
        <w:rPr>
          <w:rFonts w:hint="eastAsia" w:ascii="楷体_GB2312" w:hAnsi="楷体" w:eastAsia="楷体_GB2312"/>
          <w:color w:val="000000"/>
          <w:sz w:val="28"/>
          <w:szCs w:val="28"/>
        </w:rPr>
      </w:pPr>
    </w:p>
    <w:p>
      <w:pPr>
        <w:spacing w:line="460" w:lineRule="exact"/>
        <w:ind w:firstLine="480"/>
        <w:textAlignment w:val="baseline"/>
        <w:rPr>
          <w:rFonts w:hint="eastAsia" w:ascii="楷体_GB2312" w:hAnsi="楷体" w:eastAsia="楷体_GB2312"/>
          <w:color w:val="000000"/>
          <w:sz w:val="28"/>
          <w:szCs w:val="28"/>
        </w:rPr>
      </w:pPr>
      <w:r>
        <w:rPr>
          <w:rFonts w:hint="eastAsia" w:ascii="楷体_GB2312" w:hAnsi="楷体" w:eastAsia="楷体_GB2312"/>
          <w:color w:val="000000"/>
          <w:sz w:val="28"/>
          <w:szCs w:val="28"/>
        </w:rPr>
        <w:t>三、验收监测结果及现场检查情况</w:t>
      </w:r>
    </w:p>
    <w:p>
      <w:pPr>
        <w:spacing w:line="460" w:lineRule="exact"/>
        <w:ind w:firstLine="560" w:firstLineChars="200"/>
        <w:textAlignment w:val="baseline"/>
        <w:rPr>
          <w:rFonts w:hint="eastAsia" w:ascii="楷体_GB2312" w:hAnsi="楷体" w:eastAsia="楷体_GB2312"/>
          <w:color w:val="000000"/>
          <w:sz w:val="28"/>
          <w:szCs w:val="28"/>
        </w:rPr>
      </w:pPr>
      <w:r>
        <w:rPr>
          <w:rFonts w:hint="eastAsia" w:ascii="楷体_GB2312" w:hAnsi="楷体" w:eastAsia="楷体_GB2312"/>
          <w:sz w:val="28"/>
          <w:szCs w:val="28"/>
        </w:rPr>
        <w:t>宁国市浚成环境检测有限公司编制的《</w:t>
      </w:r>
      <w:r>
        <w:rPr>
          <w:rFonts w:hint="eastAsia" w:ascii="楷体_GB2312" w:hAnsi="楷体" w:eastAsia="楷体_GB2312" w:cs="Times New Roman"/>
          <w:color w:val="000000"/>
          <w:sz w:val="28"/>
          <w:szCs w:val="28"/>
        </w:rPr>
        <w:t>旌德中锐砂石有限责任公司年产120万吨新型建材项目</w:t>
      </w:r>
      <w:r>
        <w:rPr>
          <w:rFonts w:hint="eastAsia" w:ascii="楷体_GB2312" w:hAnsi="楷体" w:eastAsia="楷体_GB2312"/>
          <w:sz w:val="28"/>
          <w:szCs w:val="28"/>
        </w:rPr>
        <w:t>竣工环境保护验收监测报告表》监测结果和现场检查情况表明：</w:t>
      </w:r>
    </w:p>
    <w:p>
      <w:pPr>
        <w:spacing w:line="460" w:lineRule="exact"/>
        <w:ind w:firstLine="560" w:firstLineChars="200"/>
        <w:textAlignment w:val="baseline"/>
        <w:rPr>
          <w:rFonts w:hint="eastAsia" w:ascii="楷体_GB2312" w:hAnsi="楷体" w:eastAsia="楷体_GB2312" w:cs="Times New Roman"/>
          <w:sz w:val="28"/>
          <w:szCs w:val="28"/>
        </w:rPr>
      </w:pPr>
      <w:r>
        <w:rPr>
          <w:rFonts w:hint="eastAsia" w:ascii="楷体_GB2312" w:hAnsi="楷体" w:eastAsia="楷体_GB2312"/>
          <w:color w:val="000000"/>
          <w:sz w:val="28"/>
          <w:szCs w:val="28"/>
        </w:rPr>
        <w:t>废气</w:t>
      </w:r>
      <w:r>
        <w:rPr>
          <w:rFonts w:hint="eastAsia" w:ascii="楷体_GB2312" w:hAnsi="楷体" w:eastAsia="楷体_GB2312" w:cs="Times New Roman"/>
          <w:sz w:val="28"/>
          <w:szCs w:val="28"/>
        </w:rPr>
        <w:t>。本项目在破碎工序</w:t>
      </w:r>
      <w:r>
        <w:rPr>
          <w:rFonts w:hint="eastAsia" w:ascii="楷体_GB2312" w:hAnsi="楷体" w:eastAsia="楷体_GB2312" w:cs="Times New Roman"/>
          <w:sz w:val="28"/>
          <w:szCs w:val="28"/>
          <w:lang w:val="en-US" w:eastAsia="zh-CN"/>
        </w:rPr>
        <w:t>产生粉尘</w:t>
      </w:r>
      <w:r>
        <w:rPr>
          <w:rFonts w:hint="eastAsia" w:ascii="楷体_GB2312" w:hAnsi="楷体" w:eastAsia="楷体_GB2312" w:cs="Times New Roman"/>
          <w:sz w:val="28"/>
          <w:szCs w:val="28"/>
        </w:rPr>
        <w:t>，</w:t>
      </w:r>
      <w:r>
        <w:rPr>
          <w:rFonts w:hint="eastAsia" w:ascii="楷体_GB2312" w:hAnsi="楷体" w:eastAsia="楷体_GB2312" w:cs="Times New Roman"/>
          <w:sz w:val="28"/>
          <w:szCs w:val="28"/>
          <w:lang w:val="en-US" w:eastAsia="zh-CN"/>
        </w:rPr>
        <w:t>将</w:t>
      </w:r>
      <w:r>
        <w:rPr>
          <w:rFonts w:hint="eastAsia" w:ascii="楷体_GB2312" w:hAnsi="楷体" w:eastAsia="楷体_GB2312" w:cs="Times New Roman"/>
          <w:sz w:val="28"/>
          <w:szCs w:val="28"/>
        </w:rPr>
        <w:t>破碎机、进、出料口处设集气罩，</w:t>
      </w:r>
      <w:r>
        <w:rPr>
          <w:rFonts w:hint="eastAsia" w:ascii="楷体_GB2312" w:hAnsi="楷体" w:eastAsia="楷体_GB2312" w:cs="Times New Roman"/>
          <w:sz w:val="28"/>
          <w:szCs w:val="28"/>
          <w:lang w:val="en-US" w:eastAsia="zh-CN"/>
        </w:rPr>
        <w:t>将通过水喷淋后剩下的扬尘废气</w:t>
      </w:r>
      <w:r>
        <w:rPr>
          <w:rFonts w:hint="eastAsia" w:ascii="楷体_GB2312" w:hAnsi="楷体" w:eastAsia="楷体_GB2312" w:cs="Times New Roman"/>
          <w:sz w:val="28"/>
          <w:szCs w:val="28"/>
        </w:rPr>
        <w:t>通过引风机将破碎废气引入一套袋式除尘器处理后15米高排气筒（DA001）排放。经监测，废气外排满足上海市《大气污染物综合排放标准》（DB31/933-2015）中表1和表3厂界大气污染物监控点浓度限值要求。</w:t>
      </w:r>
    </w:p>
    <w:p>
      <w:pPr>
        <w:spacing w:line="460" w:lineRule="exact"/>
        <w:ind w:firstLine="560" w:firstLineChars="200"/>
        <w:textAlignment w:val="baseline"/>
        <w:rPr>
          <w:rFonts w:hint="eastAsia" w:ascii="楷体_GB2312" w:hAnsi="楷体" w:eastAsia="楷体_GB2312"/>
          <w:color w:val="000000"/>
          <w:sz w:val="28"/>
          <w:szCs w:val="28"/>
        </w:rPr>
      </w:pPr>
      <w:r>
        <w:rPr>
          <w:rFonts w:hint="eastAsia" w:ascii="楷体_GB2312" w:hAnsi="楷体" w:eastAsia="楷体_GB2312" w:cs="Times New Roman"/>
          <w:sz w:val="28"/>
          <w:szCs w:val="28"/>
        </w:rPr>
        <w:t>废水。厂区已实行雨污分流。本项目生产废水</w:t>
      </w:r>
      <w:r>
        <w:rPr>
          <w:rFonts w:hint="eastAsia" w:ascii="楷体_GB2312" w:hAnsi="楷体" w:eastAsia="楷体_GB2312" w:cs="Times New Roman"/>
          <w:sz w:val="28"/>
          <w:szCs w:val="28"/>
          <w:lang w:val="en-US" w:eastAsia="zh-CN"/>
        </w:rPr>
        <w:t>经150m3</w:t>
      </w:r>
      <w:r>
        <w:rPr>
          <w:rFonts w:hint="eastAsia" w:ascii="楷体_GB2312" w:hAnsi="楷体" w:eastAsia="楷体_GB2312" w:cs="Times New Roman"/>
          <w:sz w:val="28"/>
          <w:szCs w:val="28"/>
        </w:rPr>
        <w:t>废水</w:t>
      </w:r>
      <w:r>
        <w:rPr>
          <w:rFonts w:hint="eastAsia" w:ascii="楷体_GB2312" w:hAnsi="楷体" w:eastAsia="楷体_GB2312" w:cs="Times New Roman"/>
          <w:sz w:val="28"/>
          <w:szCs w:val="28"/>
          <w:lang w:val="en-US" w:eastAsia="zh-CN"/>
        </w:rPr>
        <w:t>收集池</w:t>
      </w:r>
      <w:r>
        <w:rPr>
          <w:rFonts w:hint="eastAsia" w:ascii="楷体_GB2312" w:hAnsi="楷体" w:eastAsia="楷体_GB2312" w:cs="Times New Roman"/>
          <w:sz w:val="28"/>
          <w:szCs w:val="28"/>
        </w:rPr>
        <w:t>收集后，经容积</w:t>
      </w:r>
      <w:r>
        <w:rPr>
          <w:rFonts w:hint="eastAsia" w:ascii="楷体_GB2312" w:hAnsi="楷体" w:eastAsia="楷体_GB2312" w:cs="Times New Roman"/>
          <w:sz w:val="28"/>
          <w:szCs w:val="28"/>
          <w:lang w:val="en-US" w:eastAsia="zh-CN"/>
        </w:rPr>
        <w:t>沉淀桶</w:t>
      </w:r>
      <w:r>
        <w:rPr>
          <w:rFonts w:hint="eastAsia" w:ascii="楷体_GB2312" w:hAnsi="楷体" w:eastAsia="楷体_GB2312" w:cs="Times New Roman"/>
          <w:sz w:val="28"/>
          <w:szCs w:val="28"/>
        </w:rPr>
        <w:t>处理后，</w:t>
      </w:r>
      <w:r>
        <w:rPr>
          <w:rFonts w:hint="eastAsia" w:ascii="楷体_GB2312" w:hAnsi="楷体" w:eastAsia="楷体_GB2312" w:cs="Times New Roman"/>
          <w:sz w:val="28"/>
          <w:szCs w:val="28"/>
          <w:lang w:val="en-US" w:eastAsia="zh-CN"/>
        </w:rPr>
        <w:t>流入400</w:t>
      </w:r>
      <w:r>
        <w:rPr>
          <w:rFonts w:hint="eastAsia" w:ascii="楷体_GB2312" w:hAnsi="楷体" w:eastAsia="楷体_GB2312" w:cs="Times New Roman"/>
          <w:sz w:val="28"/>
          <w:szCs w:val="28"/>
        </w:rPr>
        <w:t>m³</w:t>
      </w:r>
      <w:r>
        <w:rPr>
          <w:rFonts w:hint="eastAsia" w:ascii="楷体_GB2312" w:hAnsi="楷体" w:eastAsia="楷体_GB2312" w:cs="Times New Roman"/>
          <w:sz w:val="28"/>
          <w:szCs w:val="28"/>
          <w:lang w:val="en-US" w:eastAsia="zh-CN"/>
        </w:rPr>
        <w:t>清水池</w:t>
      </w:r>
      <w:r>
        <w:rPr>
          <w:rFonts w:hint="eastAsia" w:ascii="楷体_GB2312" w:hAnsi="楷体" w:eastAsia="楷体_GB2312" w:cs="Times New Roman"/>
          <w:sz w:val="28"/>
          <w:szCs w:val="28"/>
        </w:rPr>
        <w:t>回用于生产，不外排</w:t>
      </w:r>
      <w:r>
        <w:rPr>
          <w:rFonts w:hint="eastAsia" w:ascii="楷体_GB2312" w:hAnsi="楷体" w:eastAsia="楷体_GB2312" w:cs="Times New Roman"/>
          <w:sz w:val="28"/>
          <w:szCs w:val="28"/>
          <w:lang w:eastAsia="zh-CN"/>
        </w:rPr>
        <w:t>；</w:t>
      </w:r>
      <w:r>
        <w:rPr>
          <w:rFonts w:hint="eastAsia" w:ascii="楷体_GB2312" w:hAnsi="楷体" w:eastAsia="楷体_GB2312" w:cs="Times New Roman"/>
          <w:sz w:val="28"/>
          <w:szCs w:val="28"/>
        </w:rPr>
        <w:t>场地清洁及初期雨水自流入</w:t>
      </w:r>
      <w:r>
        <w:rPr>
          <w:rFonts w:hint="eastAsia" w:ascii="楷体_GB2312" w:hAnsi="楷体" w:eastAsia="楷体_GB2312" w:cs="Times New Roman"/>
          <w:sz w:val="28"/>
          <w:szCs w:val="28"/>
          <w:lang w:val="en-US" w:eastAsia="zh-CN"/>
        </w:rPr>
        <w:t>三级沉淀池</w:t>
      </w:r>
      <w:r>
        <w:rPr>
          <w:rFonts w:hint="eastAsia" w:ascii="楷体_GB2312" w:hAnsi="楷体" w:eastAsia="楷体_GB2312" w:cs="Times New Roman"/>
          <w:sz w:val="28"/>
          <w:szCs w:val="28"/>
        </w:rPr>
        <w:t>，</w:t>
      </w:r>
      <w:r>
        <w:rPr>
          <w:rFonts w:hint="eastAsia" w:ascii="楷体_GB2312" w:hAnsi="楷体" w:eastAsia="楷体_GB2312" w:cs="Times New Roman"/>
          <w:sz w:val="28"/>
          <w:szCs w:val="28"/>
          <w:lang w:val="en-US" w:eastAsia="zh-CN"/>
        </w:rPr>
        <w:t>位于厂区东北角容积为300</w:t>
      </w:r>
      <w:r>
        <w:rPr>
          <w:rFonts w:hint="eastAsia" w:ascii="楷体_GB2312" w:hAnsi="楷体" w:eastAsia="楷体_GB2312" w:cs="Times New Roman"/>
          <w:sz w:val="28"/>
          <w:szCs w:val="28"/>
        </w:rPr>
        <w:t>m³</w:t>
      </w:r>
      <w:r>
        <w:rPr>
          <w:rFonts w:hint="eastAsia" w:ascii="楷体_GB2312" w:hAnsi="楷体" w:eastAsia="楷体_GB2312" w:cs="Times New Roman"/>
          <w:sz w:val="28"/>
          <w:szCs w:val="28"/>
          <w:lang w:val="en-US" w:eastAsia="zh-CN"/>
        </w:rPr>
        <w:t>，</w:t>
      </w:r>
      <w:r>
        <w:rPr>
          <w:rFonts w:hint="eastAsia" w:ascii="楷体_GB2312" w:hAnsi="楷体" w:eastAsia="楷体_GB2312" w:cs="Times New Roman"/>
          <w:sz w:val="28"/>
          <w:szCs w:val="28"/>
        </w:rPr>
        <w:t>经沉淀后用于</w:t>
      </w:r>
      <w:r>
        <w:rPr>
          <w:rFonts w:hint="eastAsia" w:ascii="楷体_GB2312" w:hAnsi="楷体" w:eastAsia="楷体_GB2312" w:cs="Times New Roman"/>
          <w:sz w:val="28"/>
          <w:szCs w:val="28"/>
          <w:lang w:val="en-US" w:eastAsia="zh-CN"/>
        </w:rPr>
        <w:t>道路清洁冲洗；生活污水经隔油池、化粪池处理后周边林地浇灌或农田施肥，不外排。</w:t>
      </w:r>
    </w:p>
    <w:p>
      <w:pPr>
        <w:spacing w:line="460" w:lineRule="exact"/>
        <w:ind w:firstLine="480"/>
        <w:textAlignment w:val="baseline"/>
        <w:rPr>
          <w:rFonts w:hint="eastAsia" w:ascii="楷体_GB2312" w:hAnsi="楷体" w:eastAsia="楷体_GB2312"/>
          <w:color w:val="000000"/>
          <w:sz w:val="28"/>
          <w:szCs w:val="28"/>
        </w:rPr>
      </w:pPr>
      <w:r>
        <w:rPr>
          <w:rFonts w:hint="eastAsia" w:ascii="楷体_GB2312" w:hAnsi="楷体" w:eastAsia="楷体_GB2312"/>
          <w:color w:val="000000"/>
          <w:sz w:val="28"/>
          <w:szCs w:val="28"/>
        </w:rPr>
        <w:t>噪声。本项目噪声主要来自</w:t>
      </w:r>
      <w:r>
        <w:rPr>
          <w:rFonts w:hint="eastAsia" w:ascii="楷体_GB2312" w:hAnsi="楷体" w:eastAsia="楷体_GB2312"/>
          <w:sz w:val="28"/>
          <w:szCs w:val="28"/>
        </w:rPr>
        <w:t>各类生产</w:t>
      </w:r>
      <w:r>
        <w:rPr>
          <w:rFonts w:hint="eastAsia" w:ascii="楷体_GB2312" w:hAnsi="楷体" w:eastAsia="楷体_GB2312"/>
          <w:color w:val="000000"/>
          <w:sz w:val="28"/>
          <w:szCs w:val="28"/>
        </w:rPr>
        <w:t>设备及风机等，均针对性地采取合理、可行的隔声、减震措施。经监测，噪声外排分别满足《工业企业厂界环境噪声排放标准》（GB12348-2008）中2类标准限值。</w:t>
      </w:r>
    </w:p>
    <w:p>
      <w:pPr>
        <w:pStyle w:val="2"/>
        <w:spacing w:line="460" w:lineRule="exact"/>
        <w:ind w:firstLine="560" w:firstLineChars="200"/>
        <w:textAlignment w:val="baseline"/>
        <w:rPr>
          <w:rFonts w:hint="eastAsia" w:ascii="楷体_GB2312" w:hAnsi="楷体" w:eastAsia="楷体_GB2312"/>
          <w:color w:val="000000"/>
          <w:szCs w:val="28"/>
        </w:rPr>
      </w:pPr>
      <w:r>
        <w:rPr>
          <w:rFonts w:hint="eastAsia" w:ascii="楷体_GB2312" w:hAnsi="楷体" w:eastAsia="楷体_GB2312"/>
          <w:color w:val="000000"/>
          <w:szCs w:val="28"/>
        </w:rPr>
        <w:t>固体废物。项目</w:t>
      </w:r>
      <w:r>
        <w:rPr>
          <w:rFonts w:hint="eastAsia" w:ascii="楷体_GB2312" w:hAnsi="楷体" w:eastAsia="楷体_GB2312" w:cs="Times New Roman"/>
          <w:color w:val="000000"/>
          <w:szCs w:val="28"/>
        </w:rPr>
        <w:t>产生的固废主要包括污泥、收集粉尘、废包装材料</w:t>
      </w:r>
      <w:r>
        <w:rPr>
          <w:rFonts w:hint="eastAsia" w:ascii="楷体_GB2312" w:hAnsi="楷体" w:eastAsia="楷体_GB2312" w:cs="Times New Roman"/>
          <w:color w:val="000000"/>
          <w:szCs w:val="28"/>
          <w:lang w:eastAsia="zh-CN"/>
        </w:rPr>
        <w:t>、</w:t>
      </w:r>
      <w:r>
        <w:rPr>
          <w:rFonts w:hint="eastAsia" w:ascii="楷体_GB2312" w:hAnsi="楷体" w:eastAsia="楷体_GB2312" w:cs="Times New Roman"/>
          <w:color w:val="000000"/>
          <w:szCs w:val="28"/>
        </w:rPr>
        <w:t>废矿物油、废油桶和生</w:t>
      </w:r>
      <w:r>
        <w:rPr>
          <w:rFonts w:hint="eastAsia" w:ascii="楷体_GB2312" w:hAnsi="楷体" w:eastAsia="楷体_GB2312"/>
          <w:color w:val="000000"/>
          <w:szCs w:val="28"/>
        </w:rPr>
        <w:t>活垃圾。其中，</w:t>
      </w:r>
      <w:r>
        <w:rPr>
          <w:rFonts w:hint="eastAsia" w:ascii="楷体_GB2312" w:hAnsi="楷体" w:eastAsia="楷体_GB2312" w:cs="Times New Roman"/>
          <w:color w:val="000000"/>
          <w:szCs w:val="28"/>
        </w:rPr>
        <w:t>废矿物油、废油桶</w:t>
      </w:r>
      <w:r>
        <w:rPr>
          <w:rFonts w:hint="eastAsia" w:ascii="楷体_GB2312" w:hAnsi="楷体" w:eastAsia="楷体_GB2312"/>
          <w:color w:val="000000"/>
          <w:szCs w:val="28"/>
        </w:rPr>
        <w:t>等危险废物委托有相应资质的单位妥善处理处置，公司建有独立危险废物</w:t>
      </w:r>
      <w:r>
        <w:rPr>
          <w:rFonts w:hint="eastAsia" w:ascii="楷体_GB2312" w:hAnsi="楷体" w:eastAsia="楷体_GB2312"/>
          <w:szCs w:val="28"/>
        </w:rPr>
        <w:t>暂存场所</w:t>
      </w:r>
      <w:r>
        <w:rPr>
          <w:rFonts w:hint="eastAsia" w:ascii="楷体_GB2312" w:hAnsi="楷体" w:eastAsia="楷体_GB2312"/>
          <w:color w:val="000000"/>
          <w:szCs w:val="28"/>
        </w:rPr>
        <w:t>；</w:t>
      </w:r>
      <w:r>
        <w:rPr>
          <w:rFonts w:hint="eastAsia" w:ascii="楷体_GB2312" w:hAnsi="楷体" w:eastAsia="楷体_GB2312" w:cs="Times New Roman"/>
          <w:color w:val="000000"/>
          <w:szCs w:val="28"/>
        </w:rPr>
        <w:t>污泥、收集粉尘、废包装材料</w:t>
      </w:r>
      <w:r>
        <w:rPr>
          <w:rFonts w:hint="eastAsia" w:ascii="楷体_GB2312" w:hAnsi="楷体" w:eastAsia="楷体_GB2312"/>
          <w:color w:val="000000"/>
          <w:szCs w:val="28"/>
        </w:rPr>
        <w:t>分类收集后外售综合利用或再利用；生活垃圾集中收集后交由环卫部门统一清运。</w:t>
      </w:r>
    </w:p>
    <w:p>
      <w:pPr>
        <w:pStyle w:val="2"/>
        <w:spacing w:line="460" w:lineRule="exact"/>
        <w:ind w:firstLine="560" w:firstLineChars="200"/>
        <w:textAlignment w:val="baseline"/>
        <w:rPr>
          <w:rFonts w:hint="eastAsia" w:ascii="楷体_GB2312" w:hAnsi="楷体" w:eastAsia="楷体_GB2312" w:cs="Times New Roman"/>
          <w:color w:val="000000"/>
          <w:szCs w:val="28"/>
        </w:rPr>
      </w:pPr>
      <w:r>
        <w:rPr>
          <w:rFonts w:hint="eastAsia" w:ascii="楷体_GB2312" w:hAnsi="楷体" w:eastAsia="楷体_GB2312" w:cs="Times New Roman"/>
          <w:color w:val="000000"/>
          <w:szCs w:val="28"/>
        </w:rPr>
        <w:t>本项目设置50m的环境防护距离。经查验，该范围内无居民居住区、医院、学校和食品加工厂等敏感环境保护目标，满足环境防护距离要求。相关场所已落实分区防渗措施。</w:t>
      </w:r>
    </w:p>
    <w:p>
      <w:pPr>
        <w:pStyle w:val="2"/>
        <w:spacing w:line="460" w:lineRule="exact"/>
        <w:ind w:firstLine="560" w:firstLineChars="200"/>
        <w:textAlignment w:val="baseline"/>
        <w:rPr>
          <w:rFonts w:hint="eastAsia" w:ascii="楷体_GB2312" w:hAnsi="楷体" w:eastAsia="楷体_GB2312" w:cs="Times New Roman"/>
          <w:color w:val="000000"/>
          <w:szCs w:val="28"/>
        </w:rPr>
      </w:pPr>
    </w:p>
    <w:p>
      <w:pPr>
        <w:pStyle w:val="7"/>
        <w:shd w:val="clear" w:color="auto" w:fill="FFFFFF"/>
        <w:snapToGrid w:val="0"/>
        <w:spacing w:before="0" w:beforeAutospacing="0" w:after="0" w:afterAutospacing="0" w:line="460" w:lineRule="exact"/>
        <w:ind w:firstLine="560" w:firstLineChars="200"/>
        <w:textAlignment w:val="baseline"/>
        <w:rPr>
          <w:rFonts w:hint="eastAsia" w:ascii="楷体_GB2312" w:hAnsi="楷体" w:eastAsia="楷体_GB2312"/>
          <w:color w:val="000000"/>
          <w:sz w:val="28"/>
          <w:szCs w:val="28"/>
        </w:rPr>
      </w:pPr>
      <w:r>
        <w:rPr>
          <w:rFonts w:hint="eastAsia" w:ascii="楷体_GB2312" w:hAnsi="楷体" w:eastAsia="楷体_GB2312"/>
          <w:color w:val="000000"/>
          <w:sz w:val="28"/>
          <w:szCs w:val="28"/>
        </w:rPr>
        <w:t>四、验收结论</w:t>
      </w:r>
    </w:p>
    <w:p>
      <w:pPr>
        <w:spacing w:line="460" w:lineRule="exact"/>
        <w:ind w:firstLine="560" w:firstLineChars="200"/>
        <w:textAlignment w:val="baseline"/>
        <w:rPr>
          <w:rFonts w:hint="eastAsia" w:ascii="楷体_GB2312" w:hAnsi="楷体" w:eastAsia="楷体_GB2312"/>
          <w:color w:val="000000"/>
          <w:sz w:val="28"/>
          <w:szCs w:val="28"/>
        </w:rPr>
      </w:pPr>
      <w:r>
        <w:rPr>
          <w:rFonts w:hint="eastAsia" w:ascii="楷体_GB2312" w:hAnsi="楷体" w:eastAsia="楷体_GB2312" w:cs="Times New Roman"/>
          <w:color w:val="000000"/>
          <w:sz w:val="28"/>
          <w:szCs w:val="28"/>
        </w:rPr>
        <w:t>旌德中锐砂石有限责任公司年产120万吨新型建材项目</w:t>
      </w:r>
      <w:r>
        <w:rPr>
          <w:rFonts w:hint="eastAsia" w:ascii="楷体_GB2312" w:hAnsi="楷体" w:eastAsia="楷体_GB2312"/>
          <w:bCs/>
          <w:color w:val="000000"/>
          <w:sz w:val="28"/>
          <w:szCs w:val="28"/>
        </w:rPr>
        <w:t>前期</w:t>
      </w:r>
      <w:r>
        <w:rPr>
          <w:rFonts w:hint="eastAsia" w:ascii="楷体_GB2312" w:hAnsi="楷体" w:eastAsia="楷体_GB2312"/>
          <w:color w:val="000000"/>
          <w:sz w:val="28"/>
          <w:szCs w:val="28"/>
        </w:rPr>
        <w:t>环保审查、审批手续齐全。项目实施过程中已按照环评文件及批复要求逐项落实环保设施措施并同步运行或使用，具备环境保护验收条件，验收组认为本项目竣工环境保护验收合格。</w:t>
      </w:r>
    </w:p>
    <w:p>
      <w:pPr>
        <w:spacing w:line="460" w:lineRule="exact"/>
        <w:ind w:firstLine="560" w:firstLineChars="200"/>
        <w:textAlignment w:val="baseline"/>
        <w:rPr>
          <w:rFonts w:hint="eastAsia" w:ascii="楷体_GB2312" w:hAnsi="楷体" w:eastAsia="楷体_GB2312"/>
          <w:color w:val="000000"/>
          <w:sz w:val="28"/>
          <w:szCs w:val="28"/>
        </w:rPr>
      </w:pPr>
    </w:p>
    <w:p>
      <w:pPr>
        <w:adjustRightInd w:val="0"/>
        <w:spacing w:line="460" w:lineRule="exact"/>
        <w:ind w:firstLine="560" w:firstLineChars="200"/>
        <w:textAlignment w:val="baseline"/>
        <w:rPr>
          <w:rFonts w:hint="eastAsia" w:ascii="楷体_GB2312" w:hAnsi="楷体" w:eastAsia="楷体_GB2312"/>
          <w:color w:val="000000"/>
          <w:kern w:val="0"/>
          <w:sz w:val="28"/>
          <w:szCs w:val="28"/>
        </w:rPr>
      </w:pPr>
      <w:r>
        <w:rPr>
          <w:rFonts w:hint="eastAsia" w:ascii="楷体_GB2312" w:hAnsi="楷体" w:eastAsia="楷体_GB2312"/>
          <w:color w:val="000000"/>
          <w:kern w:val="0"/>
          <w:sz w:val="28"/>
          <w:szCs w:val="28"/>
        </w:rPr>
        <w:t>五、后续要求</w:t>
      </w:r>
    </w:p>
    <w:p>
      <w:pPr>
        <w:tabs>
          <w:tab w:val="left" w:pos="1834"/>
        </w:tabs>
        <w:spacing w:line="460" w:lineRule="exact"/>
        <w:ind w:firstLine="560"/>
        <w:textAlignment w:val="baseline"/>
        <w:rPr>
          <w:rFonts w:hint="eastAsia" w:ascii="楷体_GB2312" w:hAnsi="楷体" w:eastAsia="楷体_GB2312"/>
          <w:color w:val="000000"/>
          <w:sz w:val="28"/>
          <w:szCs w:val="28"/>
        </w:rPr>
      </w:pPr>
      <w:r>
        <w:rPr>
          <w:rFonts w:hint="eastAsia" w:ascii="楷体_GB2312" w:hAnsi="楷体" w:eastAsia="楷体_GB2312"/>
          <w:color w:val="000000"/>
          <w:sz w:val="28"/>
          <w:szCs w:val="28"/>
        </w:rPr>
        <w:t xml:space="preserve">1.加强废气收集、除尘净化设施维护保养和现场环境管理，确保废气污染物稳定达标排放；完善危险废物和一般工业固废暂存场所建设工作，适时清运危险废物并建立去向台账，严格按照国家规定执行危废转移申报联单制度。 </w:t>
      </w:r>
    </w:p>
    <w:p>
      <w:pPr>
        <w:tabs>
          <w:tab w:val="left" w:pos="1834"/>
        </w:tabs>
        <w:spacing w:line="460" w:lineRule="exact"/>
        <w:ind w:firstLine="560"/>
        <w:textAlignment w:val="baseline"/>
        <w:rPr>
          <w:rFonts w:hint="eastAsia" w:ascii="楷体_GB2312" w:hAnsi="楷体" w:eastAsia="楷体_GB2312"/>
          <w:color w:val="000000"/>
          <w:sz w:val="28"/>
          <w:szCs w:val="28"/>
        </w:rPr>
      </w:pPr>
      <w:r>
        <w:rPr>
          <w:rFonts w:hint="eastAsia" w:ascii="楷体_GB2312" w:hAnsi="楷体" w:eastAsia="楷体_GB2312"/>
          <w:color w:val="000000"/>
          <w:sz w:val="28"/>
          <w:szCs w:val="28"/>
        </w:rPr>
        <w:t>2.厂区严格实行雨污分流。。</w:t>
      </w:r>
    </w:p>
    <w:p>
      <w:pPr>
        <w:tabs>
          <w:tab w:val="left" w:pos="1834"/>
        </w:tabs>
        <w:spacing w:line="460" w:lineRule="exact"/>
        <w:ind w:firstLine="560"/>
        <w:textAlignment w:val="baseline"/>
        <w:rPr>
          <w:rFonts w:hint="eastAsia" w:ascii="楷体_GB2312" w:hAnsi="楷体" w:eastAsia="楷体_GB2312"/>
          <w:sz w:val="28"/>
          <w:szCs w:val="28"/>
        </w:rPr>
      </w:pPr>
      <w:r>
        <w:rPr>
          <w:rFonts w:hint="eastAsia" w:ascii="楷体_GB2312" w:hAnsi="楷体" w:eastAsia="楷体_GB2312"/>
          <w:color w:val="000000"/>
          <w:sz w:val="28"/>
          <w:szCs w:val="28"/>
        </w:rPr>
        <w:t>3.提高全员环境保护意识，完善精细化环境管理工作计划及制度；定期对厂区雨污管网、车间内外地面进行环境清理，持续改善环境</w:t>
      </w:r>
      <w:r>
        <w:rPr>
          <w:rFonts w:hint="eastAsia" w:ascii="楷体_GB2312" w:hAnsi="楷体" w:eastAsia="楷体_GB2312"/>
          <w:sz w:val="28"/>
          <w:szCs w:val="28"/>
        </w:rPr>
        <w:t>。</w:t>
      </w:r>
    </w:p>
    <w:p>
      <w:pPr>
        <w:tabs>
          <w:tab w:val="left" w:pos="1834"/>
        </w:tabs>
        <w:spacing w:line="460" w:lineRule="exact"/>
        <w:ind w:firstLine="560"/>
        <w:textAlignment w:val="baseline"/>
        <w:rPr>
          <w:rFonts w:hint="eastAsia" w:ascii="楷体_GB2312" w:hAnsi="楷体" w:eastAsia="楷体_GB2312"/>
          <w:sz w:val="28"/>
          <w:szCs w:val="28"/>
        </w:rPr>
      </w:pPr>
    </w:p>
    <w:p>
      <w:pPr>
        <w:adjustRightInd w:val="0"/>
        <w:spacing w:line="460" w:lineRule="exact"/>
        <w:ind w:firstLine="560" w:firstLineChars="200"/>
        <w:textAlignment w:val="baseline"/>
        <w:rPr>
          <w:rFonts w:hint="eastAsia" w:ascii="楷体_GB2312" w:hAnsi="楷体" w:eastAsia="楷体_GB2312"/>
          <w:color w:val="000000"/>
          <w:sz w:val="28"/>
          <w:szCs w:val="28"/>
        </w:rPr>
      </w:pPr>
      <w:r>
        <w:rPr>
          <w:rFonts w:hint="eastAsia" w:ascii="楷体_GB2312" w:hAnsi="楷体" w:eastAsia="楷体_GB2312"/>
          <w:color w:val="000000"/>
          <w:sz w:val="28"/>
          <w:szCs w:val="28"/>
        </w:rPr>
        <w:t xml:space="preserve">                             </w:t>
      </w:r>
      <w:r>
        <w:rPr>
          <w:rFonts w:hint="eastAsia" w:ascii="楷体_GB2312" w:hAnsi="楷体" w:eastAsia="楷体_GB2312" w:cs="Times New Roman"/>
          <w:color w:val="000000"/>
          <w:sz w:val="28"/>
          <w:szCs w:val="28"/>
        </w:rPr>
        <w:t>旌德中锐砂石有限责任公司</w:t>
      </w:r>
    </w:p>
    <w:p>
      <w:pPr>
        <w:jc w:val="right"/>
      </w:pPr>
      <w:r>
        <w:rPr>
          <w:rFonts w:hint="eastAsia" w:ascii="楷体_GB2312" w:hAnsi="楷体" w:eastAsia="楷体_GB2312"/>
          <w:color w:val="000000"/>
          <w:sz w:val="28"/>
          <w:szCs w:val="28"/>
        </w:rPr>
        <w:t>2022年</w:t>
      </w:r>
      <w:r>
        <w:rPr>
          <w:rFonts w:hint="eastAsia" w:ascii="楷体_GB2312" w:hAnsi="楷体" w:eastAsia="楷体_GB2312"/>
          <w:color w:val="000000"/>
          <w:sz w:val="28"/>
          <w:szCs w:val="28"/>
          <w:lang w:val="en-US" w:eastAsia="zh-CN"/>
        </w:rPr>
        <w:t>5</w:t>
      </w:r>
      <w:r>
        <w:rPr>
          <w:rFonts w:hint="eastAsia" w:ascii="楷体_GB2312" w:hAnsi="楷体" w:eastAsia="楷体_GB2312"/>
          <w:color w:val="000000"/>
          <w:sz w:val="28"/>
          <w:szCs w:val="28"/>
        </w:rPr>
        <w:t>月</w:t>
      </w:r>
      <w:r>
        <w:rPr>
          <w:rFonts w:hint="eastAsia" w:ascii="楷体_GB2312" w:hAnsi="楷体" w:eastAsia="楷体_GB2312"/>
          <w:color w:val="000000"/>
          <w:sz w:val="28"/>
          <w:szCs w:val="28"/>
          <w:lang w:val="en-US" w:eastAsia="zh-CN"/>
        </w:rPr>
        <w:t>15</w:t>
      </w:r>
      <w:r>
        <w:rPr>
          <w:rFonts w:hint="eastAsia" w:ascii="楷体_GB2312" w:hAnsi="楷体" w:eastAsia="楷体_GB2312"/>
          <w:color w:val="000000"/>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NmYxYjQyZTdlNjdiNmVkZjllYTQ0OTEzN2Y5ZmUifQ=="/>
  </w:docVars>
  <w:rsids>
    <w:rsidRoot w:val="19304022"/>
    <w:rsid w:val="19304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rPr>
      <w:kern w:val="2"/>
      <w:sz w:val="28"/>
    </w:rPr>
  </w:style>
  <w:style w:type="paragraph" w:styleId="3">
    <w:name w:val="footnote text"/>
    <w:basedOn w:val="1"/>
    <w:semiHidden/>
    <w:qFormat/>
    <w:uiPriority w:val="0"/>
    <w:pPr>
      <w:snapToGrid w:val="0"/>
      <w:jc w:val="left"/>
    </w:pPr>
    <w:rPr>
      <w:sz w:val="18"/>
      <w:szCs w:val="18"/>
    </w:rPr>
  </w:style>
  <w:style w:type="paragraph" w:customStyle="1" w:styleId="6">
    <w:name w:val="Default"/>
    <w:basedOn w:val="1"/>
    <w:next w:val="3"/>
    <w:qFormat/>
    <w:uiPriority w:val="0"/>
    <w:pPr>
      <w:shd w:val="clear" w:color="auto" w:fill="FFFFFF"/>
      <w:autoSpaceDE w:val="0"/>
      <w:autoSpaceDN w:val="0"/>
      <w:adjustRightInd w:val="0"/>
      <w:spacing w:line="494" w:lineRule="exact"/>
    </w:pPr>
    <w:rPr>
      <w:color w:val="000000"/>
      <w:sz w:val="24"/>
      <w:szCs w:val="24"/>
    </w:rPr>
  </w:style>
  <w:style w:type="paragraph" w:customStyle="1" w:styleId="7">
    <w:name w:val="p0"/>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2022-07-25T07:35:00Z</dcterms:created>
  <dc:creator>-</dc:creator>
  <cp:lastModifiedBy>-</cp:lastModifiedBy>
  <dcterms:modified xsi:type="dcterms:W3CDTF">2022-07-25T08:01:59Z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EA69D6647927429AAF8E4280079BBE7D</vt:lpwstr>
  </property>
</Properties>
</file>