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600"/>
        </w:tabs>
        <w:spacing w:line="360" w:lineRule="auto"/>
        <w:jc w:val="center"/>
        <w:rPr>
          <w:rFonts w:ascii="Times New Roman" w:hAnsi="Times New Roman" w:eastAsia="宋体"/>
          <w:b/>
          <w:sz w:val="48"/>
          <w:szCs w:val="48"/>
        </w:rPr>
      </w:pPr>
    </w:p>
    <w:p>
      <w:pPr>
        <w:spacing w:line="360" w:lineRule="auto"/>
        <w:jc w:val="center"/>
        <w:rPr>
          <w:rFonts w:ascii="Times New Roman" w:hAnsi="Times New Roman" w:eastAsia="宋体"/>
          <w:b/>
          <w:sz w:val="48"/>
          <w:szCs w:val="48"/>
        </w:rPr>
      </w:pPr>
      <w:r>
        <w:rPr>
          <w:rFonts w:hint="eastAsia" w:ascii="Times New Roman" w:hAnsi="Times New Roman" w:eastAsia="宋体"/>
          <w:b/>
          <w:sz w:val="48"/>
          <w:szCs w:val="48"/>
          <w:lang w:val="en-US" w:eastAsia="zh-CN"/>
        </w:rPr>
        <w:t>宁国市刘宏甫石材加工厂石材加工项目</w:t>
      </w:r>
    </w:p>
    <w:p>
      <w:pPr>
        <w:spacing w:line="360" w:lineRule="auto"/>
        <w:jc w:val="center"/>
        <w:rPr>
          <w:rFonts w:ascii="Times New Roman" w:hAnsi="Times New Roman" w:eastAsia="宋体"/>
          <w:b/>
          <w:sz w:val="48"/>
          <w:szCs w:val="48"/>
        </w:rPr>
      </w:pPr>
      <w:r>
        <w:rPr>
          <w:rFonts w:ascii="Times New Roman" w:hAnsi="Times New Roman" w:eastAsia="宋体"/>
          <w:b/>
          <w:sz w:val="48"/>
          <w:szCs w:val="48"/>
        </w:rPr>
        <w:t>竣工环境保护</w:t>
      </w:r>
      <w:r>
        <w:rPr>
          <w:rFonts w:hint="eastAsia" w:ascii="Times New Roman" w:hAnsi="Times New Roman" w:eastAsia="宋体"/>
          <w:b/>
          <w:sz w:val="48"/>
          <w:szCs w:val="48"/>
          <w:lang w:val="en-US" w:eastAsia="zh-CN"/>
        </w:rPr>
        <w:t>阶段性</w:t>
      </w:r>
      <w:r>
        <w:rPr>
          <w:rFonts w:ascii="Times New Roman" w:hAnsi="Times New Roman" w:eastAsia="宋体"/>
          <w:b/>
          <w:sz w:val="48"/>
          <w:szCs w:val="48"/>
        </w:rPr>
        <w:t>验收</w:t>
      </w:r>
      <w:r>
        <w:rPr>
          <w:rFonts w:hint="eastAsia" w:ascii="Times New Roman" w:hAnsi="Times New Roman" w:eastAsia="宋体"/>
          <w:b/>
          <w:sz w:val="48"/>
          <w:szCs w:val="48"/>
          <w:lang w:val="en-US" w:eastAsia="zh-CN"/>
        </w:rPr>
        <w:t>监</w:t>
      </w:r>
      <w:r>
        <w:rPr>
          <w:rFonts w:ascii="Times New Roman" w:hAnsi="Times New Roman" w:eastAsia="宋体"/>
          <w:b/>
          <w:sz w:val="48"/>
          <w:szCs w:val="48"/>
        </w:rPr>
        <w:t>测报告表</w:t>
      </w:r>
    </w:p>
    <w:p>
      <w:pPr>
        <w:jc w:val="both"/>
        <w:rPr>
          <w:rFonts w:ascii="Times New Roman" w:hAnsi="Times New Roman" w:eastAsia="宋体"/>
          <w:sz w:val="28"/>
        </w:rPr>
      </w:pPr>
    </w:p>
    <w:p>
      <w:pPr>
        <w:pStyle w:val="2"/>
        <w:rPr>
          <w:rFonts w:ascii="Times New Roman" w:hAnsi="Times New Roman" w:eastAsia="宋体"/>
          <w:sz w:val="28"/>
        </w:rPr>
      </w:pPr>
    </w:p>
    <w:p>
      <w:pPr>
        <w:pStyle w:val="2"/>
        <w:rPr>
          <w:rFonts w:ascii="Times New Roman" w:hAnsi="Times New Roman" w:eastAsia="宋体"/>
          <w:sz w:val="28"/>
        </w:rPr>
      </w:pPr>
    </w:p>
    <w:p>
      <w:pPr>
        <w:pStyle w:val="2"/>
        <w:rPr>
          <w:rFonts w:ascii="Times New Roman" w:hAnsi="Times New Roman" w:eastAsia="宋体"/>
          <w:sz w:val="28"/>
        </w:rPr>
      </w:pPr>
    </w:p>
    <w:p>
      <w:pPr>
        <w:pStyle w:val="3"/>
        <w:rPr>
          <w:rFonts w:ascii="Times New Roman" w:hAnsi="Times New Roman" w:eastAsia="宋体"/>
          <w:sz w:val="28"/>
        </w:rPr>
      </w:pPr>
    </w:p>
    <w:p>
      <w:pPr>
        <w:pStyle w:val="3"/>
        <w:rPr>
          <w:rFonts w:ascii="Times New Roman" w:hAnsi="Times New Roman" w:eastAsia="宋体"/>
          <w:sz w:val="28"/>
        </w:rPr>
      </w:pPr>
    </w:p>
    <w:p>
      <w:pPr>
        <w:pStyle w:val="3"/>
        <w:rPr>
          <w:rFonts w:ascii="Times New Roman" w:hAnsi="Times New Roman" w:eastAsia="宋体"/>
          <w:sz w:val="28"/>
        </w:rPr>
      </w:pPr>
    </w:p>
    <w:p>
      <w:pPr>
        <w:rPr>
          <w:rFonts w:ascii="Times New Roman" w:hAnsi="Times New Roman" w:eastAsia="宋体"/>
          <w:sz w:val="28"/>
        </w:rPr>
      </w:pPr>
    </w:p>
    <w:p>
      <w:pPr>
        <w:pStyle w:val="2"/>
        <w:rPr>
          <w:rFonts w:ascii="Times New Roman" w:hAnsi="Times New Roman" w:eastAsia="宋体"/>
        </w:rPr>
      </w:pPr>
    </w:p>
    <w:p>
      <w:pPr>
        <w:rPr>
          <w:rFonts w:ascii="Times New Roman" w:hAnsi="Times New Roman" w:eastAsia="宋体"/>
          <w:sz w:val="28"/>
          <w:szCs w:val="28"/>
        </w:rPr>
      </w:pPr>
      <w:r>
        <w:rPr>
          <w:rFonts w:ascii="Times New Roman" w:hAnsi="Times New Roman" w:eastAsia="宋体"/>
          <w:sz w:val="28"/>
        </w:rPr>
        <w:tab/>
      </w:r>
    </w:p>
    <w:p>
      <w:pPr>
        <w:spacing w:after="0" w:line="360" w:lineRule="auto"/>
        <w:ind w:firstLine="840" w:firstLineChars="300"/>
        <w:rPr>
          <w:rFonts w:ascii="Times New Roman" w:hAnsi="Times New Roman" w:eastAsia="宋体"/>
          <w:sz w:val="28"/>
          <w:szCs w:val="28"/>
        </w:rPr>
      </w:pPr>
      <w:r>
        <w:rPr>
          <w:rFonts w:ascii="Times New Roman" w:hAnsi="Times New Roman" w:eastAsia="宋体"/>
          <w:sz w:val="28"/>
          <w:szCs w:val="28"/>
        </w:rPr>
        <w:tab/>
      </w:r>
      <w:r>
        <w:rPr>
          <w:rFonts w:ascii="Times New Roman" w:hAnsi="Times New Roman" w:eastAsia="宋体"/>
          <w:sz w:val="28"/>
          <w:szCs w:val="28"/>
        </w:rPr>
        <w:t xml:space="preserve"> </w:t>
      </w:r>
      <w:r>
        <w:rPr>
          <w:rFonts w:hint="eastAsia" w:ascii="Times New Roman" w:hAnsi="Times New Roman" w:eastAsia="宋体"/>
          <w:sz w:val="28"/>
          <w:szCs w:val="28"/>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firstLine="1680" w:firstLineChars="600"/>
        <w:textAlignment w:val="auto"/>
        <w:rPr>
          <w:rFonts w:ascii="Times New Roman" w:hAnsi="Times New Roman" w:eastAsia="宋体"/>
          <w:sz w:val="28"/>
          <w:szCs w:val="28"/>
        </w:rPr>
      </w:pPr>
      <w:r>
        <w:rPr>
          <w:rFonts w:ascii="Times New Roman" w:hAnsi="Times New Roman" w:eastAsia="宋体"/>
          <w:sz w:val="28"/>
          <w:szCs w:val="28"/>
        </w:rPr>
        <w:t>建设单位</w:t>
      </w:r>
      <w:r>
        <w:rPr>
          <w:rFonts w:hint="eastAsia" w:ascii="Times New Roman" w:hAnsi="Times New Roman" w:eastAsia="宋体"/>
          <w:sz w:val="28"/>
          <w:szCs w:val="28"/>
          <w:lang w:eastAsia="zh-CN"/>
        </w:rPr>
        <w:t>：</w:t>
      </w:r>
      <w:r>
        <w:rPr>
          <w:rFonts w:hint="eastAsia" w:ascii="Times New Roman" w:hAnsi="Times New Roman" w:eastAsia="宋体"/>
          <w:sz w:val="28"/>
          <w:szCs w:val="28"/>
          <w:lang w:val="en-US" w:eastAsia="zh-CN"/>
        </w:rPr>
        <w:t>宁国市刘宏甫石材加工厂</w:t>
      </w:r>
    </w:p>
    <w:p>
      <w:pPr>
        <w:keepNext w:val="0"/>
        <w:keepLines w:val="0"/>
        <w:pageBreakBefore w:val="0"/>
        <w:widowControl/>
        <w:kinsoku/>
        <w:wordWrap/>
        <w:overflowPunct/>
        <w:topLinePunct w:val="0"/>
        <w:autoSpaceDE/>
        <w:autoSpaceDN/>
        <w:bidi w:val="0"/>
        <w:adjustRightInd w:val="0"/>
        <w:snapToGrid w:val="0"/>
        <w:spacing w:after="0" w:line="360" w:lineRule="auto"/>
        <w:ind w:firstLine="1680" w:firstLineChars="600"/>
        <w:textAlignment w:val="auto"/>
        <w:rPr>
          <w:rFonts w:ascii="Times New Roman" w:hAnsi="Times New Roman" w:eastAsia="宋体"/>
          <w:sz w:val="28"/>
          <w:szCs w:val="28"/>
        </w:rPr>
      </w:pPr>
      <w:r>
        <w:rPr>
          <w:rFonts w:ascii="Times New Roman" w:hAnsi="Times New Roman" w:eastAsia="宋体"/>
          <w:sz w:val="28"/>
          <w:szCs w:val="28"/>
        </w:rPr>
        <w:t>编制单位：宁国市浚成环境检测有限公司</w:t>
      </w:r>
    </w:p>
    <w:p>
      <w:pPr>
        <w:keepNext w:val="0"/>
        <w:keepLines w:val="0"/>
        <w:pageBreakBefore w:val="0"/>
        <w:widowControl/>
        <w:kinsoku/>
        <w:wordWrap/>
        <w:overflowPunct/>
        <w:topLinePunct w:val="0"/>
        <w:autoSpaceDE/>
        <w:autoSpaceDN/>
        <w:bidi w:val="0"/>
        <w:adjustRightInd w:val="0"/>
        <w:snapToGrid w:val="0"/>
        <w:spacing w:after="0" w:line="360" w:lineRule="auto"/>
        <w:ind w:firstLine="1680" w:firstLineChars="600"/>
        <w:textAlignment w:val="auto"/>
        <w:rPr>
          <w:rFonts w:ascii="Times New Roman" w:hAnsi="Times New Roman" w:eastAsia="宋体"/>
          <w:sz w:val="28"/>
          <w:szCs w:val="28"/>
        </w:rPr>
      </w:pPr>
      <w:r>
        <w:rPr>
          <w:rFonts w:ascii="Times New Roman" w:hAnsi="Times New Roman" w:eastAsia="宋体"/>
          <w:sz w:val="28"/>
          <w:szCs w:val="28"/>
        </w:rPr>
        <w:t>编制日期：二〇二</w:t>
      </w:r>
      <w:r>
        <w:rPr>
          <w:rFonts w:hint="eastAsia" w:ascii="Times New Roman" w:hAnsi="Times New Roman" w:eastAsia="宋体"/>
          <w:sz w:val="28"/>
          <w:szCs w:val="28"/>
          <w:lang w:val="en-US" w:eastAsia="zh-CN"/>
        </w:rPr>
        <w:t>二</w:t>
      </w:r>
      <w:r>
        <w:rPr>
          <w:rFonts w:ascii="Times New Roman" w:hAnsi="Times New Roman" w:eastAsia="宋体"/>
          <w:sz w:val="28"/>
          <w:szCs w:val="28"/>
        </w:rPr>
        <w:t>年</w:t>
      </w:r>
      <w:r>
        <w:rPr>
          <w:rFonts w:hint="eastAsia" w:ascii="Times New Roman" w:hAnsi="Times New Roman" w:eastAsia="宋体"/>
          <w:sz w:val="28"/>
          <w:szCs w:val="28"/>
          <w:lang w:val="en-US" w:eastAsia="zh-CN"/>
        </w:rPr>
        <w:t>一</w:t>
      </w:r>
      <w:r>
        <w:rPr>
          <w:rFonts w:ascii="Times New Roman" w:hAnsi="Times New Roman" w:eastAsia="宋体"/>
          <w:sz w:val="28"/>
          <w:szCs w:val="28"/>
        </w:rPr>
        <w:t>月</w:t>
      </w:r>
    </w:p>
    <w:p>
      <w:pPr>
        <w:spacing w:after="0" w:line="360" w:lineRule="auto"/>
        <w:rPr>
          <w:rFonts w:ascii="Times New Roman" w:hAnsi="Times New Roman" w:eastAsia="宋体"/>
          <w:b/>
          <w:sz w:val="28"/>
        </w:rPr>
      </w:pPr>
    </w:p>
    <w:p>
      <w:pPr>
        <w:spacing w:after="0" w:line="360" w:lineRule="auto"/>
        <w:ind w:firstLine="843" w:firstLineChars="300"/>
        <w:rPr>
          <w:rFonts w:ascii="Times New Roman" w:hAnsi="Times New Roman" w:eastAsia="宋体"/>
          <w:b/>
          <w:sz w:val="28"/>
        </w:rPr>
      </w:pPr>
    </w:p>
    <w:p>
      <w:pPr>
        <w:spacing w:after="0" w:line="360" w:lineRule="auto"/>
        <w:ind w:firstLine="843" w:firstLineChars="300"/>
        <w:rPr>
          <w:rFonts w:ascii="Times New Roman" w:hAnsi="Times New Roman" w:eastAsia="宋体"/>
          <w:b/>
          <w:sz w:val="28"/>
        </w:rPr>
      </w:pPr>
    </w:p>
    <w:p>
      <w:pPr>
        <w:spacing w:after="0" w:line="360" w:lineRule="auto"/>
        <w:rPr>
          <w:rFonts w:ascii="Times New Roman" w:hAnsi="Times New Roman" w:eastAsia="宋体"/>
          <w:b/>
          <w:sz w:val="28"/>
        </w:rPr>
        <w:sectPr>
          <w:footerReference r:id="rId4" w:type="default"/>
          <w:pgSz w:w="11850" w:h="16783"/>
          <w:pgMar w:top="1417" w:right="1474" w:bottom="1417" w:left="1474"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line="360" w:lineRule="auto"/>
        <w:rPr>
          <w:rFonts w:ascii="Times New Roman" w:hAnsi="Times New Roman" w:eastAsia="宋体"/>
          <w:sz w:val="32"/>
        </w:rPr>
      </w:pPr>
      <w:r>
        <w:rPr>
          <w:rFonts w:ascii="Times New Roman" w:hAnsi="Times New Roman" w:eastAsia="宋体"/>
          <w:b/>
          <w:sz w:val="28"/>
        </w:rPr>
        <w:tab/>
      </w:r>
    </w:p>
    <w:p>
      <w:pPr>
        <w:spacing w:before="100" w:beforeAutospacing="1" w:after="100" w:afterAutospacing="1"/>
        <w:rPr>
          <w:rFonts w:ascii="Times New Roman" w:hAnsi="Times New Roman" w:eastAsia="宋体"/>
          <w:sz w:val="28"/>
        </w:rPr>
      </w:pPr>
      <w:r>
        <w:rPr>
          <w:rFonts w:ascii="Times New Roman" w:hAnsi="Times New Roman" w:eastAsia="宋体"/>
          <w:b/>
          <w:sz w:val="28"/>
        </w:rPr>
        <w:t>建设单位法人代表</w:t>
      </w:r>
      <w:r>
        <w:rPr>
          <w:rFonts w:hint="eastAsia" w:ascii="Times New Roman" w:hAnsi="Times New Roman" w:eastAsia="宋体"/>
          <w:b/>
          <w:sz w:val="28"/>
          <w:lang w:eastAsia="zh-CN"/>
        </w:rPr>
        <w:t>：</w:t>
      </w:r>
      <w:r>
        <w:rPr>
          <w:rFonts w:hint="eastAsia" w:ascii="Times New Roman" w:hAnsi="Times New Roman" w:eastAsia="宋体"/>
          <w:sz w:val="28"/>
          <w:szCs w:val="28"/>
          <w:lang w:val="en-US" w:eastAsia="zh-CN"/>
        </w:rPr>
        <w:t>刘宏甫</w:t>
      </w:r>
      <w:r>
        <w:rPr>
          <w:rFonts w:ascii="Times New Roman" w:hAnsi="Times New Roman" w:eastAsia="宋体"/>
          <w:sz w:val="28"/>
        </w:rPr>
        <w:t xml:space="preserve">      </w:t>
      </w:r>
    </w:p>
    <w:p>
      <w:pPr>
        <w:spacing w:line="360" w:lineRule="auto"/>
        <w:rPr>
          <w:rFonts w:ascii="Times New Roman" w:hAnsi="Times New Roman" w:eastAsia="宋体"/>
          <w:sz w:val="28"/>
        </w:rPr>
      </w:pPr>
      <w:r>
        <w:rPr>
          <w:rFonts w:ascii="Times New Roman" w:hAnsi="Times New Roman" w:eastAsia="宋体"/>
          <w:b/>
          <w:sz w:val="28"/>
        </w:rPr>
        <w:t>编制单位法人代表</w:t>
      </w:r>
      <w:r>
        <w:rPr>
          <w:rFonts w:hint="eastAsia" w:ascii="Times New Roman" w:hAnsi="Times New Roman" w:eastAsia="宋体"/>
          <w:b/>
          <w:sz w:val="28"/>
          <w:lang w:eastAsia="zh-CN"/>
        </w:rPr>
        <w:t>：</w:t>
      </w:r>
      <w:r>
        <w:rPr>
          <w:rFonts w:ascii="Times New Roman" w:hAnsi="Times New Roman" w:eastAsia="宋体"/>
          <w:sz w:val="28"/>
          <w:szCs w:val="28"/>
        </w:rPr>
        <w:t>杨明辉</w:t>
      </w:r>
      <w:r>
        <w:rPr>
          <w:rFonts w:ascii="Times New Roman" w:hAnsi="Times New Roman" w:eastAsia="宋体"/>
          <w:sz w:val="28"/>
        </w:rPr>
        <w:tab/>
      </w:r>
      <w:r>
        <w:rPr>
          <w:rFonts w:ascii="Times New Roman" w:hAnsi="Times New Roman" w:eastAsia="宋体"/>
          <w:sz w:val="28"/>
        </w:rPr>
        <w:t xml:space="preserve">          </w:t>
      </w:r>
    </w:p>
    <w:p>
      <w:pPr>
        <w:spacing w:line="360" w:lineRule="auto"/>
        <w:rPr>
          <w:rFonts w:ascii="Times New Roman" w:hAnsi="Times New Roman" w:eastAsia="宋体"/>
          <w:sz w:val="28"/>
        </w:rPr>
      </w:pPr>
      <w:r>
        <w:rPr>
          <w:rFonts w:ascii="Times New Roman" w:hAnsi="Times New Roman" w:eastAsia="宋体"/>
          <w:b/>
          <w:sz w:val="28"/>
        </w:rPr>
        <w:t>项</w:t>
      </w:r>
      <w:r>
        <w:rPr>
          <w:rFonts w:hint="eastAsia" w:ascii="Times New Roman" w:hAnsi="Times New Roman" w:eastAsia="宋体"/>
          <w:b/>
          <w:sz w:val="28"/>
          <w:lang w:val="en-US" w:eastAsia="zh-CN"/>
        </w:rPr>
        <w:t xml:space="preserve"> </w:t>
      </w:r>
      <w:r>
        <w:rPr>
          <w:rFonts w:ascii="Times New Roman" w:hAnsi="Times New Roman" w:eastAsia="宋体"/>
          <w:b/>
          <w:sz w:val="28"/>
        </w:rPr>
        <w:t>目</w:t>
      </w:r>
      <w:r>
        <w:rPr>
          <w:rFonts w:hint="eastAsia" w:ascii="Times New Roman" w:hAnsi="Times New Roman" w:eastAsia="宋体"/>
          <w:b/>
          <w:sz w:val="28"/>
          <w:lang w:val="en-US" w:eastAsia="zh-CN"/>
        </w:rPr>
        <w:t xml:space="preserve"> </w:t>
      </w:r>
      <w:r>
        <w:rPr>
          <w:rFonts w:ascii="Times New Roman" w:hAnsi="Times New Roman" w:eastAsia="宋体"/>
          <w:b/>
          <w:sz w:val="28"/>
        </w:rPr>
        <w:t>负</w:t>
      </w:r>
      <w:r>
        <w:rPr>
          <w:rFonts w:hint="eastAsia" w:ascii="Times New Roman" w:hAnsi="Times New Roman" w:eastAsia="宋体"/>
          <w:b/>
          <w:sz w:val="28"/>
          <w:lang w:val="en-US" w:eastAsia="zh-CN"/>
        </w:rPr>
        <w:t xml:space="preserve"> </w:t>
      </w:r>
      <w:r>
        <w:rPr>
          <w:rFonts w:ascii="Times New Roman" w:hAnsi="Times New Roman" w:eastAsia="宋体"/>
          <w:b/>
          <w:sz w:val="28"/>
        </w:rPr>
        <w:t>责</w:t>
      </w:r>
      <w:r>
        <w:rPr>
          <w:rFonts w:hint="eastAsia" w:ascii="Times New Roman" w:hAnsi="Times New Roman" w:eastAsia="宋体"/>
          <w:b/>
          <w:sz w:val="28"/>
          <w:lang w:val="en-US" w:eastAsia="zh-CN"/>
        </w:rPr>
        <w:t xml:space="preserve"> </w:t>
      </w:r>
      <w:r>
        <w:rPr>
          <w:rFonts w:ascii="Times New Roman" w:hAnsi="Times New Roman" w:eastAsia="宋体"/>
          <w:b/>
          <w:sz w:val="28"/>
        </w:rPr>
        <w:t>人</w:t>
      </w:r>
      <w:r>
        <w:rPr>
          <w:rFonts w:hint="eastAsia" w:ascii="Times New Roman" w:hAnsi="Times New Roman" w:eastAsia="宋体"/>
          <w:b/>
          <w:sz w:val="28"/>
          <w:lang w:eastAsia="zh-CN"/>
        </w:rPr>
        <w:t>：</w:t>
      </w:r>
      <w:r>
        <w:rPr>
          <w:rFonts w:hint="eastAsia" w:ascii="Times New Roman" w:hAnsi="Times New Roman" w:eastAsia="宋体"/>
          <w:sz w:val="28"/>
          <w:szCs w:val="28"/>
          <w:lang w:val="en-US" w:eastAsia="zh-CN"/>
        </w:rPr>
        <w:t>徐碧晖</w:t>
      </w:r>
      <w:r>
        <w:rPr>
          <w:rFonts w:ascii="Times New Roman" w:hAnsi="Times New Roman" w:eastAsia="宋体"/>
          <w:sz w:val="28"/>
        </w:rPr>
        <w:tab/>
      </w:r>
    </w:p>
    <w:p>
      <w:pPr>
        <w:spacing w:line="360" w:lineRule="auto"/>
        <w:rPr>
          <w:rFonts w:hint="eastAsia" w:ascii="Times New Roman" w:hAnsi="Times New Roman" w:eastAsia="宋体"/>
          <w:b/>
          <w:spacing w:val="7"/>
          <w:w w:val="79"/>
          <w:sz w:val="28"/>
          <w:lang w:eastAsia="zh-CN"/>
        </w:rPr>
      </w:pPr>
      <w:r>
        <w:rPr>
          <w:rFonts w:hint="eastAsia" w:ascii="Times New Roman" w:hAnsi="Times New Roman" w:eastAsia="宋体"/>
          <w:b/>
          <w:sz w:val="28"/>
          <w:lang w:val="en-US" w:eastAsia="zh-CN"/>
        </w:rPr>
        <w:t>项 目 编 制 人</w:t>
      </w:r>
      <w:r>
        <w:rPr>
          <w:rFonts w:hint="eastAsia" w:ascii="Times New Roman" w:hAnsi="Times New Roman" w:eastAsia="宋体"/>
          <w:b/>
          <w:sz w:val="28"/>
          <w:lang w:eastAsia="zh-CN"/>
        </w:rPr>
        <w:t>：</w:t>
      </w:r>
      <w:r>
        <w:rPr>
          <w:rFonts w:hint="eastAsia" w:ascii="Times New Roman" w:hAnsi="Times New Roman" w:eastAsia="宋体"/>
          <w:sz w:val="28"/>
          <w:szCs w:val="28"/>
          <w:lang w:val="en-US" w:eastAsia="zh-CN"/>
        </w:rPr>
        <w:t>汪浩</w:t>
      </w: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pStyle w:val="12"/>
        <w:rPr>
          <w:rFonts w:ascii="Times New Roman" w:hAnsi="Times New Roman" w:eastAsia="宋体"/>
          <w:sz w:val="28"/>
        </w:rPr>
      </w:pPr>
    </w:p>
    <w:p>
      <w:pPr>
        <w:pStyle w:val="8"/>
        <w:rPr>
          <w:rFonts w:ascii="Times New Roman" w:hAnsi="Times New Roman" w:eastAsia="宋体"/>
          <w:sz w:val="28"/>
        </w:rPr>
      </w:pPr>
    </w:p>
    <w:p>
      <w:pPr>
        <w:rPr>
          <w:rFonts w:ascii="Times New Roman" w:hAnsi="Times New Roman" w:eastAsia="宋体"/>
          <w:sz w:val="28"/>
        </w:rPr>
      </w:pPr>
    </w:p>
    <w:p>
      <w:pPr>
        <w:pStyle w:val="12"/>
        <w:rPr>
          <w:rFonts w:ascii="Times New Roman" w:hAnsi="Times New Roman" w:eastAsia="宋体"/>
          <w:sz w:val="28"/>
        </w:rPr>
      </w:pPr>
    </w:p>
    <w:p>
      <w:pPr>
        <w:pStyle w:val="8"/>
        <w:rPr>
          <w:rFonts w:ascii="Times New Roman" w:hAnsi="Times New Roman" w:eastAsia="宋体"/>
          <w:sz w:val="28"/>
        </w:rPr>
      </w:pPr>
    </w:p>
    <w:p>
      <w:pPr>
        <w:pStyle w:val="8"/>
      </w:pPr>
    </w:p>
    <w:p>
      <w:pPr>
        <w:tabs>
          <w:tab w:val="left" w:pos="984"/>
        </w:tabs>
        <w:spacing w:line="360" w:lineRule="auto"/>
        <w:rPr>
          <w:rFonts w:ascii="Times New Roman" w:hAnsi="Times New Roman" w:eastAsia="宋体"/>
          <w:sz w:val="28"/>
        </w:rPr>
      </w:pPr>
      <w:r>
        <w:rPr>
          <w:rFonts w:ascii="Times New Roman" w:hAnsi="Times New Roman" w:eastAsia="宋体"/>
          <w:sz w:val="28"/>
        </w:rPr>
        <w:tab/>
      </w:r>
    </w:p>
    <w:p>
      <w:pPr>
        <w:tabs>
          <w:tab w:val="left" w:pos="984"/>
        </w:tabs>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p>
    <w:p>
      <w:pPr>
        <w:spacing w:line="360" w:lineRule="auto"/>
        <w:rPr>
          <w:rFonts w:ascii="Times New Roman" w:hAnsi="Times New Roman" w:eastAsia="宋体"/>
          <w:sz w:val="28"/>
        </w:rPr>
      </w:pPr>
      <w:r>
        <w:rPr>
          <w:rFonts w:ascii="Times New Roman" w:hAnsi="Times New Roman" w:eastAsia="宋体"/>
          <w:sz w:val="28"/>
        </w:rPr>
        <w:t xml:space="preserve">建设单位 </w:t>
      </w:r>
      <w:r>
        <w:rPr>
          <w:rFonts w:ascii="Times New Roman" w:hAnsi="Times New Roman" w:eastAsia="宋体"/>
          <w:sz w:val="28"/>
          <w:u w:val="single"/>
        </w:rPr>
        <w:t xml:space="preserve">     </w:t>
      </w:r>
      <w:r>
        <w:rPr>
          <w:rFonts w:ascii="Times New Roman" w:hAnsi="Times New Roman" w:eastAsia="宋体"/>
          <w:sz w:val="28"/>
        </w:rPr>
        <w:t>（盖章）        编制单位           （盖章）</w:t>
      </w:r>
    </w:p>
    <w:p>
      <w:pPr>
        <w:spacing w:line="360" w:lineRule="auto"/>
        <w:rPr>
          <w:rFonts w:ascii="Times New Roman" w:hAnsi="Times New Roman" w:eastAsia="宋体"/>
          <w:sz w:val="21"/>
          <w:szCs w:val="21"/>
        </w:rPr>
        <w:sectPr>
          <w:footerReference r:id="rId5" w:type="default"/>
          <w:pgSz w:w="11850" w:h="16783"/>
          <w:pgMar w:top="1417" w:right="1474" w:bottom="1417" w:left="1474" w:header="708" w:footer="708" w:gutter="0"/>
          <w:pgBorders>
            <w:top w:val="none" w:sz="0" w:space="0"/>
            <w:left w:val="none" w:sz="0" w:space="0"/>
            <w:bottom w:val="none" w:sz="0" w:space="0"/>
            <w:right w:val="none" w:sz="0" w:space="0"/>
          </w:pgBorders>
          <w:pgNumType w:start="1"/>
          <w:cols w:space="720" w:num="1"/>
          <w:docGrid w:linePitch="360" w:charSpace="0"/>
        </w:sectPr>
      </w:pPr>
    </w:p>
    <w:tbl>
      <w:tblPr>
        <w:tblStyle w:val="17"/>
        <w:tblW w:w="53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823"/>
        <w:gridCol w:w="2089"/>
        <w:gridCol w:w="896"/>
        <w:gridCol w:w="908"/>
        <w:gridCol w:w="1124"/>
        <w:gridCol w:w="6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3719" w:type="pct"/>
            <w:gridSpan w:val="5"/>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石材加工项目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3719" w:type="pct"/>
            <w:gridSpan w:val="5"/>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宁国市刘宏甫石材加工厂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3719" w:type="pct"/>
            <w:gridSpan w:val="5"/>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宁国市汪溪街道殷白村汪溪石材加工集中市场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毛板、抛光板、火烧板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设计生产能力</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年产毛板5000吨、抛光板2000吨、火烧板1000吨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3719" w:type="pct"/>
            <w:gridSpan w:val="5"/>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年产毛板5000吨、火烧板1000吨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建设项目环评时间</w:t>
            </w:r>
          </w:p>
        </w:tc>
        <w:tc>
          <w:tcPr>
            <w:tcW w:w="991"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lang w:val="en-US" w:eastAsia="zh-CN"/>
              </w:rPr>
              <w:t>19.8</w:t>
            </w:r>
          </w:p>
        </w:tc>
        <w:tc>
          <w:tcPr>
            <w:tcW w:w="1135"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开工建设时间</w:t>
            </w:r>
          </w:p>
        </w:tc>
        <w:tc>
          <w:tcPr>
            <w:tcW w:w="1591" w:type="pct"/>
            <w:gridSpan w:val="3"/>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调试时间</w:t>
            </w:r>
          </w:p>
        </w:tc>
        <w:tc>
          <w:tcPr>
            <w:tcW w:w="991"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2021.11</w:t>
            </w:r>
          </w:p>
        </w:tc>
        <w:tc>
          <w:tcPr>
            <w:tcW w:w="1135"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验收现场监测时间</w:t>
            </w:r>
          </w:p>
        </w:tc>
        <w:tc>
          <w:tcPr>
            <w:tcW w:w="1591" w:type="pct"/>
            <w:gridSpan w:val="3"/>
            <w:vAlign w:val="center"/>
          </w:tcPr>
          <w:p>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991"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宣城市</w:t>
            </w:r>
            <w:r>
              <w:rPr>
                <w:rFonts w:hint="eastAsia" w:ascii="Times New Roman" w:hAnsi="Times New Roman" w:eastAsia="宋体" w:cs="Times New Roman"/>
                <w:sz w:val="24"/>
                <w:szCs w:val="24"/>
                <w:lang w:val="en-US" w:eastAsia="zh-CN"/>
              </w:rPr>
              <w:t>宁国市</w:t>
            </w:r>
            <w:r>
              <w:rPr>
                <w:rFonts w:hint="default" w:ascii="Times New Roman" w:hAnsi="Times New Roman" w:eastAsia="宋体" w:cs="Times New Roman"/>
                <w:sz w:val="24"/>
                <w:szCs w:val="24"/>
              </w:rPr>
              <w:t>生态环境</w:t>
            </w:r>
            <w:r>
              <w:rPr>
                <w:rFonts w:hint="eastAsia" w:ascii="Times New Roman" w:hAnsi="Times New Roman" w:eastAsia="宋体" w:cs="Times New Roman"/>
                <w:sz w:val="24"/>
                <w:szCs w:val="24"/>
                <w:lang w:val="en-US" w:eastAsia="zh-CN"/>
              </w:rPr>
              <w:t>分</w:t>
            </w:r>
            <w:r>
              <w:rPr>
                <w:rFonts w:hint="default" w:ascii="Times New Roman" w:hAnsi="Times New Roman" w:eastAsia="宋体" w:cs="Times New Roman"/>
                <w:sz w:val="24"/>
                <w:szCs w:val="24"/>
              </w:rPr>
              <w:t>局</w:t>
            </w:r>
          </w:p>
        </w:tc>
        <w:tc>
          <w:tcPr>
            <w:tcW w:w="1135"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1591" w:type="pct"/>
            <w:gridSpan w:val="3"/>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山东省鼎深环保科技有限公司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991" w:type="pct"/>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宁国市刘宏甫石材加工厂</w:t>
            </w:r>
          </w:p>
        </w:tc>
        <w:tc>
          <w:tcPr>
            <w:tcW w:w="1135"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1591" w:type="pct"/>
            <w:gridSpan w:val="3"/>
            <w:vAlign w:val="center"/>
          </w:tcPr>
          <w:p>
            <w:pPr>
              <w:spacing w:after="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宁国市刘宏甫石材加工厂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669" w:hRule="atLeast"/>
          <w:jc w:val="center"/>
        </w:trPr>
        <w:tc>
          <w:tcPr>
            <w:tcW w:w="912" w:type="pct"/>
            <w:vAlign w:val="center"/>
          </w:tcPr>
          <w:p>
            <w:pPr>
              <w:spacing w:after="0"/>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投资总概算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万元</w:t>
            </w:r>
            <w:r>
              <w:rPr>
                <w:rFonts w:hint="eastAsia" w:ascii="Times New Roman" w:hAnsi="Times New Roman" w:eastAsia="宋体" w:cs="Times New Roman"/>
                <w:sz w:val="24"/>
                <w:szCs w:val="24"/>
                <w:lang w:eastAsia="zh-CN"/>
              </w:rPr>
              <w:t>）</w:t>
            </w:r>
          </w:p>
        </w:tc>
        <w:tc>
          <w:tcPr>
            <w:tcW w:w="991" w:type="pct"/>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180</w:t>
            </w:r>
          </w:p>
        </w:tc>
        <w:tc>
          <w:tcPr>
            <w:tcW w:w="1135" w:type="pct"/>
            <w:vAlign w:val="center"/>
          </w:tcPr>
          <w:p>
            <w:pPr>
              <w:spacing w:after="0"/>
              <w:jc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环保投资总概算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万元</w:t>
            </w:r>
            <w:r>
              <w:rPr>
                <w:rFonts w:hint="eastAsia" w:ascii="Times New Roman" w:hAnsi="Times New Roman" w:eastAsia="宋体" w:cs="Times New Roman"/>
                <w:sz w:val="24"/>
                <w:szCs w:val="24"/>
                <w:lang w:eastAsia="zh-CN"/>
              </w:rPr>
              <w:t>）</w:t>
            </w:r>
          </w:p>
        </w:tc>
        <w:tc>
          <w:tcPr>
            <w:tcW w:w="487" w:type="pct"/>
            <w:vAlign w:val="center"/>
          </w:tcPr>
          <w:p>
            <w:pPr>
              <w:spacing w:after="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76</w:t>
            </w:r>
          </w:p>
        </w:tc>
        <w:tc>
          <w:tcPr>
            <w:tcW w:w="493"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611" w:type="pct"/>
            <w:vAlign w:val="center"/>
          </w:tcPr>
          <w:p>
            <w:pPr>
              <w:spacing w:after="0"/>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42.22</w:t>
            </w:r>
            <w:r>
              <w:rPr>
                <w:rFonts w:hint="default" w:ascii="Times New Roman" w:hAnsi="Times New Roman" w:eastAsia="宋体"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实际总概算</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万元</w:t>
            </w:r>
            <w:r>
              <w:rPr>
                <w:rFonts w:hint="eastAsia" w:ascii="Times New Roman" w:hAnsi="Times New Roman" w:eastAsia="宋体" w:cs="Times New Roman"/>
                <w:sz w:val="24"/>
                <w:szCs w:val="24"/>
                <w:lang w:eastAsia="zh-CN"/>
              </w:rPr>
              <w:t>）</w:t>
            </w:r>
          </w:p>
        </w:tc>
        <w:tc>
          <w:tcPr>
            <w:tcW w:w="991"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100</w:t>
            </w:r>
          </w:p>
        </w:tc>
        <w:tc>
          <w:tcPr>
            <w:tcW w:w="1135"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spacing w:after="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万元</w:t>
            </w:r>
            <w:r>
              <w:rPr>
                <w:rFonts w:hint="eastAsia" w:ascii="Times New Roman" w:hAnsi="Times New Roman" w:eastAsia="宋体" w:cs="Times New Roman"/>
                <w:color w:val="auto"/>
                <w:sz w:val="24"/>
                <w:szCs w:val="24"/>
                <w:lang w:eastAsia="zh-CN"/>
              </w:rPr>
              <w:t>）</w:t>
            </w:r>
          </w:p>
        </w:tc>
        <w:tc>
          <w:tcPr>
            <w:tcW w:w="487"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w:t>
            </w:r>
          </w:p>
        </w:tc>
        <w:tc>
          <w:tcPr>
            <w:tcW w:w="493" w:type="pct"/>
            <w:vAlign w:val="center"/>
          </w:tcPr>
          <w:p>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611" w:type="pct"/>
            <w:vAlign w:val="center"/>
          </w:tcPr>
          <w:p>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454" w:hRule="atLeast"/>
          <w:jc w:val="center"/>
        </w:trPr>
        <w:tc>
          <w:tcPr>
            <w:tcW w:w="912" w:type="pct"/>
            <w:vAlign w:val="center"/>
          </w:tcPr>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验收检测依据</w:t>
            </w:r>
          </w:p>
        </w:tc>
        <w:tc>
          <w:tcPr>
            <w:tcW w:w="3719" w:type="pct"/>
            <w:gridSpan w:val="5"/>
            <w:vAlign w:val="center"/>
          </w:tcPr>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w:t>
            </w:r>
            <w:r>
              <w:rPr>
                <w:rFonts w:hint="eastAsia" w:ascii="Times New Roman" w:hAnsi="Times New Roman" w:eastAsia="宋体" w:cs="Times New Roman"/>
                <w:sz w:val="24"/>
                <w:szCs w:val="24"/>
                <w:lang w:val="en-US" w:eastAsia="zh-CN"/>
              </w:rPr>
              <w:t>2014年4月24日修订，</w:t>
            </w:r>
            <w:r>
              <w:rPr>
                <w:rFonts w:hint="default" w:ascii="Times New Roman" w:hAnsi="Times New Roman" w:eastAsia="宋体" w:cs="Times New Roman"/>
                <w:sz w:val="24"/>
                <w:szCs w:val="24"/>
              </w:rPr>
              <w:t>2015.1.1 施行；</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2、《中华人民共和国环境噪声污染防治法》，20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r>
              <w:rPr>
                <w:rFonts w:hint="eastAsia" w:ascii="Times New Roman" w:hAnsi="Times New Roman" w:eastAsia="宋体" w:cs="Times New Roman"/>
                <w:sz w:val="24"/>
                <w:szCs w:val="24"/>
                <w:lang w:val="en-US" w:eastAsia="zh-CN"/>
              </w:rPr>
              <w:t>年12月29日修订并施行</w:t>
            </w:r>
            <w:r>
              <w:rPr>
                <w:rFonts w:hint="default" w:ascii="Times New Roman" w:hAnsi="Times New Roman" w:eastAsia="宋体" w:cs="Times New Roman"/>
                <w:sz w:val="24"/>
                <w:szCs w:val="24"/>
              </w:rPr>
              <w:t>；</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3、《中华人民共和国水污染防治法》，2008年6月1日施行，2017年6月27日再次修订，201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1月1日实施</w:t>
            </w:r>
            <w:r>
              <w:rPr>
                <w:rFonts w:hint="default" w:ascii="Times New Roman" w:hAnsi="Times New Roman" w:eastAsia="宋体" w:cs="Times New Roman"/>
                <w:sz w:val="24"/>
                <w:szCs w:val="24"/>
              </w:rPr>
              <w:t>；</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w:t>
            </w:r>
            <w:r>
              <w:rPr>
                <w:rFonts w:hint="eastAsia" w:ascii="Times New Roman" w:hAnsi="Times New Roman" w:eastAsia="宋体" w:cs="Times New Roman"/>
                <w:sz w:val="24"/>
                <w:szCs w:val="24"/>
                <w:lang w:val="en-US" w:eastAsia="zh-CN"/>
              </w:rPr>
              <w:t>8年</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0月26日</w:t>
            </w:r>
            <w:r>
              <w:rPr>
                <w:rFonts w:hint="eastAsia" w:ascii="宋体" w:hAnsi="宋体" w:eastAsia="宋体" w:cs="宋体"/>
                <w:color w:val="auto"/>
                <w:sz w:val="24"/>
                <w:szCs w:val="24"/>
                <w:lang w:eastAsia="zh-CN"/>
              </w:rPr>
              <w:t>修</w:t>
            </w:r>
            <w:r>
              <w:rPr>
                <w:rFonts w:hint="eastAsia" w:ascii="宋体" w:hAnsi="宋体" w:eastAsia="宋体" w:cs="宋体"/>
                <w:color w:val="auto"/>
                <w:sz w:val="24"/>
                <w:szCs w:val="24"/>
                <w:lang w:val="en-US" w:eastAsia="zh-CN"/>
              </w:rPr>
              <w:t>订并施行</w:t>
            </w:r>
            <w:r>
              <w:rPr>
                <w:rFonts w:hint="default" w:ascii="Times New Roman" w:hAnsi="Times New Roman" w:eastAsia="宋体" w:cs="Times New Roman"/>
                <w:sz w:val="24"/>
                <w:szCs w:val="24"/>
              </w:rPr>
              <w:t>；</w:t>
            </w:r>
          </w:p>
          <w:p>
            <w:pPr>
              <w:spacing w:after="0" w:line="520" w:lineRule="exac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5、《中华人民共和国固体废物污染环境防治法》，20</w:t>
            </w:r>
            <w:r>
              <w:rPr>
                <w:rFonts w:hint="eastAsia" w:ascii="Times New Roman" w:hAnsi="Times New Roman" w:eastAsia="宋体" w:cs="Times New Roman"/>
                <w:color w:val="auto"/>
                <w:sz w:val="24"/>
                <w:szCs w:val="24"/>
                <w:lang w:val="en-US" w:eastAsia="zh-CN"/>
              </w:rPr>
              <w:t>20年4月29</w:t>
            </w:r>
            <w:r>
              <w:rPr>
                <w:rFonts w:hint="default" w:ascii="Times New Roman" w:hAnsi="Times New Roman" w:eastAsia="宋体" w:cs="Times New Roman"/>
                <w:color w:val="auto"/>
                <w:sz w:val="24"/>
                <w:szCs w:val="24"/>
              </w:rPr>
              <w:t xml:space="preserve"> 修订</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2020年9月1日</w:t>
            </w:r>
            <w:r>
              <w:rPr>
                <w:rFonts w:hint="default" w:ascii="Times New Roman" w:hAnsi="Times New Roman" w:eastAsia="宋体" w:cs="Times New Roman"/>
                <w:color w:val="auto"/>
                <w:sz w:val="24"/>
                <w:szCs w:val="24"/>
              </w:rPr>
              <w:t>施行；</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6、《建设项目环境保护管理条例》，中华人民共和国国务院令第682号，2017.10.1试行；</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7、《关于发布&lt;建设项目竣工环境保护验收暂行办法&gt;的公告》，中华人民共和国环境保护部，国环规环评[2017]4号，2017年11月20日发布并实施；</w:t>
            </w:r>
          </w:p>
          <w:p>
            <w:pPr>
              <w:spacing w:after="0"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8、关于发布《建设项目竣工环境保护验收技术指南 污染影响类》的公告，中华人民共和国生态环境部，公告2018第9号，2018年5月16日印发；</w:t>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9、</w:t>
            </w:r>
            <w:r>
              <w:rPr>
                <w:rFonts w:hint="eastAsia" w:ascii="Times New Roman" w:hAnsi="Times New Roman" w:eastAsia="宋体" w:cs="Times New Roman"/>
                <w:sz w:val="24"/>
                <w:szCs w:val="24"/>
                <w:lang w:val="en-US" w:eastAsia="zh-CN"/>
              </w:rPr>
              <w:t>宁国市刘宏甫石材加工厂石材加工项目</w:t>
            </w:r>
            <w:r>
              <w:rPr>
                <w:rFonts w:hint="default" w:ascii="Times New Roman" w:hAnsi="Times New Roman" w:eastAsia="宋体" w:cs="Times New Roman"/>
                <w:sz w:val="24"/>
                <w:szCs w:val="24"/>
                <w:lang w:val="en-US" w:eastAsia="zh-CN"/>
              </w:rPr>
              <w:t>委托进行竣工环境保护</w:t>
            </w:r>
            <w:r>
              <w:rPr>
                <w:rFonts w:hint="eastAsia" w:ascii="Times New Roman" w:hAnsi="Times New Roman" w:eastAsia="宋体" w:cs="Times New Roman"/>
                <w:sz w:val="24"/>
                <w:szCs w:val="24"/>
                <w:lang w:val="en-US" w:eastAsia="zh-CN"/>
              </w:rPr>
              <w:t>阶段性</w:t>
            </w:r>
            <w:r>
              <w:rPr>
                <w:rFonts w:hint="default" w:ascii="Times New Roman" w:hAnsi="Times New Roman" w:eastAsia="宋体" w:cs="Times New Roman"/>
                <w:sz w:val="24"/>
                <w:szCs w:val="24"/>
                <w:lang w:val="en-US" w:eastAsia="zh-CN"/>
              </w:rPr>
              <w:t>验收的委托书；</w:t>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10、山东省鼎深环保科技有限公司</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宁国市刘宏甫石材加工厂石材加工项目</w:t>
            </w:r>
            <w:r>
              <w:rPr>
                <w:rFonts w:hint="default" w:ascii="Times New Roman" w:hAnsi="Times New Roman" w:eastAsia="宋体" w:cs="Times New Roman"/>
                <w:color w:val="auto"/>
                <w:sz w:val="24"/>
                <w:szCs w:val="24"/>
              </w:rPr>
              <w:t>环境影响报告表》（20</w:t>
            </w:r>
            <w:r>
              <w:rPr>
                <w:rFonts w:hint="eastAsia" w:ascii="Times New Roman" w:hAnsi="Times New Roman" w:eastAsia="宋体" w:cs="Times New Roman"/>
                <w:color w:val="auto"/>
                <w:sz w:val="24"/>
                <w:szCs w:val="24"/>
                <w:lang w:val="en-US" w:eastAsia="zh-CN"/>
              </w:rPr>
              <w:t>19</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rPr>
              <w:t>）；</w:t>
            </w:r>
          </w:p>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宣城市</w:t>
            </w:r>
            <w:r>
              <w:rPr>
                <w:rFonts w:hint="eastAsia" w:ascii="Times New Roman" w:hAnsi="Times New Roman" w:eastAsia="宋体" w:cs="Times New Roman"/>
                <w:color w:val="auto"/>
                <w:sz w:val="24"/>
                <w:szCs w:val="24"/>
                <w:lang w:val="en-US" w:eastAsia="zh-CN"/>
              </w:rPr>
              <w:t>宁国市</w:t>
            </w:r>
            <w:r>
              <w:rPr>
                <w:rFonts w:hint="default" w:ascii="Times New Roman" w:hAnsi="Times New Roman" w:eastAsia="宋体" w:cs="Times New Roman"/>
                <w:color w:val="auto"/>
                <w:sz w:val="24"/>
                <w:szCs w:val="24"/>
              </w:rPr>
              <w:t>生态环境</w:t>
            </w:r>
            <w:r>
              <w:rPr>
                <w:rFonts w:hint="eastAsia" w:ascii="Times New Roman" w:hAnsi="Times New Roman" w:eastAsia="宋体" w:cs="Times New Roman"/>
                <w:color w:val="auto"/>
                <w:sz w:val="24"/>
                <w:szCs w:val="24"/>
                <w:lang w:val="en-US" w:eastAsia="zh-CN"/>
              </w:rPr>
              <w:t>分</w:t>
            </w:r>
            <w:r>
              <w:rPr>
                <w:rFonts w:hint="default" w:ascii="Times New Roman" w:hAnsi="Times New Roman" w:eastAsia="宋体" w:cs="Times New Roman"/>
                <w:color w:val="auto"/>
                <w:sz w:val="24"/>
                <w:szCs w:val="24"/>
              </w:rPr>
              <w:t>局《</w:t>
            </w:r>
            <w:r>
              <w:rPr>
                <w:rFonts w:hint="eastAsia" w:ascii="Times New Roman" w:hAnsi="Times New Roman" w:eastAsia="宋体" w:cs="Times New Roman"/>
                <w:color w:val="auto"/>
                <w:sz w:val="24"/>
                <w:szCs w:val="24"/>
                <w:lang w:val="en-US" w:eastAsia="zh-CN"/>
              </w:rPr>
              <w:t>宁国市刘宏甫石材加工厂</w:t>
            </w:r>
            <w:r>
              <w:rPr>
                <w:rFonts w:hint="eastAsia" w:ascii="Times New Roman" w:hAnsi="Times New Roman" w:eastAsia="宋体" w:cs="Times New Roman"/>
                <w:sz w:val="24"/>
                <w:szCs w:val="24"/>
                <w:lang w:val="en-US" w:eastAsia="zh-CN"/>
              </w:rPr>
              <w:t>石材加工项目</w:t>
            </w:r>
            <w:r>
              <w:rPr>
                <w:rFonts w:hint="default" w:ascii="Times New Roman" w:hAnsi="Times New Roman" w:eastAsia="宋体" w:cs="Times New Roman"/>
                <w:color w:val="auto"/>
                <w:sz w:val="24"/>
                <w:szCs w:val="24"/>
              </w:rPr>
              <w:t>环境影响报告表的复函》（</w:t>
            </w:r>
            <w:r>
              <w:rPr>
                <w:rFonts w:hint="eastAsia" w:ascii="Times New Roman" w:hAnsi="Times New Roman" w:eastAsia="宋体" w:cs="Times New Roman"/>
                <w:color w:val="auto"/>
                <w:sz w:val="24"/>
                <w:szCs w:val="24"/>
                <w:lang w:eastAsia="zh-CN"/>
              </w:rPr>
              <w:t>宁环审批〔2020〕106号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p>
          <w:p>
            <w:pPr>
              <w:pStyle w:val="3"/>
              <w:rPr>
                <w:rFonts w:hint="eastAsia" w:ascii="Times New Roman" w:hAnsi="Times New Roman" w:eastAsia="宋体" w:cs="Times New Roman"/>
                <w:color w:val="auto"/>
                <w:sz w:val="24"/>
                <w:szCs w:val="24"/>
                <w:lang w:val="en-US" w:eastAsia="zh-CN" w:bidi="ar-SA"/>
              </w:rPr>
            </w:pPr>
          </w:p>
          <w:p>
            <w:pPr>
              <w:pStyle w:val="3"/>
              <w:rPr>
                <w:rFonts w:hint="eastAsia" w:ascii="Times New Roman" w:hAnsi="Times New Roman" w:eastAsia="宋体" w:cs="Times New Roman"/>
                <w:color w:val="auto"/>
                <w:sz w:val="24"/>
                <w:szCs w:val="24"/>
                <w:lang w:eastAsia="zh-CN"/>
              </w:rPr>
            </w:pPr>
          </w:p>
          <w:p>
            <w:pPr>
              <w:pStyle w:val="3"/>
              <w:rPr>
                <w:rFonts w:hint="eastAsia" w:ascii="Times New Roman" w:hAnsi="Times New Roman" w:eastAsia="宋体" w:cs="Times New Roman"/>
                <w:color w:val="auto"/>
                <w:sz w:val="24"/>
                <w:szCs w:val="24"/>
                <w:lang w:eastAsia="zh-CN"/>
              </w:rPr>
            </w:pPr>
          </w:p>
          <w:p>
            <w:pPr>
              <w:pStyle w:val="3"/>
              <w:rPr>
                <w:rFonts w:hint="eastAsia" w:ascii="Times New Roman" w:hAnsi="Times New Roman" w:eastAsia="宋体" w:cs="Times New Roman"/>
                <w:color w:val="auto"/>
                <w:sz w:val="24"/>
                <w:szCs w:val="24"/>
                <w:lang w:eastAsia="zh-CN"/>
              </w:rPr>
            </w:pPr>
          </w:p>
          <w:p>
            <w:pPr>
              <w:pStyle w:val="3"/>
              <w:rPr>
                <w:rFonts w:hint="eastAsia" w:ascii="Times New Roman" w:hAnsi="Times New Roman" w:eastAsia="宋体" w:cs="Times New Roman"/>
                <w:color w:val="auto"/>
                <w:sz w:val="24"/>
                <w:szCs w:val="24"/>
                <w:lang w:eastAsia="zh-CN"/>
              </w:rPr>
            </w:pPr>
          </w:p>
          <w:p>
            <w:pPr>
              <w:pStyle w:val="3"/>
              <w:rPr>
                <w:rFonts w:hint="eastAsia" w:ascii="Times New Roman" w:hAnsi="Times New Roman" w:eastAsia="宋体" w:cs="Times New Roman"/>
                <w:color w:val="auto"/>
                <w:sz w:val="24"/>
                <w:szCs w:val="24"/>
                <w:lang w:eastAsia="zh-CN"/>
              </w:rPr>
            </w:pPr>
          </w:p>
          <w:p>
            <w:pPr>
              <w:pStyle w:val="3"/>
              <w:rPr>
                <w:rFonts w:hint="eastAsia" w:ascii="Times New Roman" w:hAnsi="Times New Roman" w:eastAsia="宋体" w:cs="Times New Roman"/>
                <w:color w:val="auto"/>
                <w:sz w:val="24"/>
                <w:szCs w:val="24"/>
                <w:lang w:eastAsia="zh-CN"/>
              </w:rPr>
            </w:pPr>
          </w:p>
          <w:p>
            <w:pPr>
              <w:rPr>
                <w:rFonts w:hint="eastAsia"/>
                <w:lang w:eastAsia="zh-CN"/>
              </w:rPr>
            </w:pPr>
          </w:p>
          <w:p>
            <w:pPr>
              <w:pStyle w:val="3"/>
              <w:rPr>
                <w:rFonts w:hint="eastAsia" w:ascii="Times New Roman" w:hAnsi="Times New Roman" w:eastAsia="宋体" w:cs="Times New Roman"/>
                <w:color w:val="auto"/>
                <w:sz w:val="24"/>
                <w:szCs w:val="24"/>
                <w:lang w:eastAsia="zh-CN"/>
              </w:rPr>
            </w:pPr>
          </w:p>
          <w:p>
            <w:pPr>
              <w:spacing w:after="0" w:line="520" w:lineRule="exact"/>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68" w:type="pct"/>
          <w:trHeight w:val="13941" w:hRule="atLeast"/>
          <w:jc w:val="center"/>
        </w:trPr>
        <w:tc>
          <w:tcPr>
            <w:tcW w:w="912" w:type="pct"/>
            <w:vAlign w:val="center"/>
          </w:tcPr>
          <w:p>
            <w:pPr>
              <w:spacing w:after="0"/>
              <w:rPr>
                <w:rFonts w:ascii="Times New Roman" w:hAnsi="Times New Roman" w:eastAsia="宋体"/>
                <w:sz w:val="21"/>
                <w:szCs w:val="21"/>
              </w:rPr>
            </w:pPr>
            <w:r>
              <w:rPr>
                <w:rFonts w:ascii="Times New Roman" w:hAnsi="Times New Roman" w:eastAsia="宋体"/>
                <w:sz w:val="24"/>
                <w:szCs w:val="24"/>
              </w:rPr>
              <w:t>验收监测评价标准、标号、级别、限值</w:t>
            </w:r>
          </w:p>
        </w:tc>
        <w:tc>
          <w:tcPr>
            <w:tcW w:w="3719" w:type="pct"/>
            <w:gridSpan w:val="5"/>
          </w:tcPr>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sz w:val="24"/>
                <w:szCs w:val="24"/>
              </w:rPr>
              <w:t>1、</w:t>
            </w:r>
            <w:r>
              <w:rPr>
                <w:rFonts w:hint="eastAsia" w:ascii="Times New Roman" w:hAnsi="Times New Roman" w:eastAsia="宋体" w:cs="Times New Roman"/>
                <w:b/>
                <w:bCs/>
                <w:color w:val="000000"/>
                <w:sz w:val="24"/>
                <w:szCs w:val="24"/>
                <w:lang w:val="en-US" w:eastAsia="zh-CN"/>
              </w:rPr>
              <w:t>废气</w:t>
            </w:r>
            <w:r>
              <w:rPr>
                <w:rFonts w:hint="default" w:ascii="Times New Roman" w:hAnsi="Times New Roman" w:eastAsia="宋体" w:cs="Times New Roman"/>
                <w:b/>
                <w:bCs/>
                <w:color w:val="000000"/>
                <w:sz w:val="24"/>
                <w:szCs w:val="24"/>
              </w:rPr>
              <w:t>排放标准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pPr>
            <w:r>
              <w:rPr>
                <w:rFonts w:hint="eastAsia" w:ascii="Times New Roman" w:hAnsi="Times New Roman" w:eastAsia="宋体" w:cs="Times New Roman"/>
                <w:color w:val="000000"/>
                <w:sz w:val="24"/>
                <w:szCs w:val="24"/>
                <w:lang w:val="en-US" w:eastAsia="zh-CN"/>
              </w:rPr>
              <w:t>火烧机液化石油气燃烧废气有组织排放参照执行上海市《工业炉窑大气污染物排放标准》（DB31 860-2014）表1排放浓度，标准值见下表。</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pPr>
            <w:r>
              <w:rPr>
                <w:rFonts w:hint="eastAsia" w:ascii="宋体" w:hAnsi="宋体" w:eastAsia="宋体" w:cs="宋体"/>
                <w:b/>
                <w:bCs/>
                <w:color w:val="000000"/>
                <w:kern w:val="0"/>
                <w:sz w:val="21"/>
                <w:szCs w:val="21"/>
                <w:lang w:val="en-US" w:eastAsia="zh-CN" w:bidi="ar"/>
              </w:rPr>
              <w:t xml:space="preserve">表 </w:t>
            </w:r>
            <w:r>
              <w:rPr>
                <w:rFonts w:hint="eastAsia" w:ascii="Times New Roman" w:hAnsi="Times New Roman" w:eastAsia="宋体" w:cs="Times New Roman"/>
                <w:b/>
                <w:bCs/>
                <w:color w:val="000000"/>
                <w:kern w:val="0"/>
                <w:sz w:val="21"/>
                <w:szCs w:val="21"/>
                <w:lang w:val="en-US" w:eastAsia="zh-CN" w:bidi="ar"/>
              </w:rPr>
              <w:t>1</w:t>
            </w:r>
            <w:r>
              <w:rPr>
                <w:rFonts w:hint="default" w:ascii="Times New Roman" w:hAnsi="Times New Roman" w:eastAsia="宋体" w:cs="Times New Roman"/>
                <w:b/>
                <w:bCs/>
                <w:color w:val="000000"/>
                <w:kern w:val="0"/>
                <w:sz w:val="21"/>
                <w:szCs w:val="21"/>
                <w:lang w:val="en-US" w:eastAsia="zh-CN" w:bidi="ar"/>
              </w:rPr>
              <w:t>-</w:t>
            </w:r>
            <w:r>
              <w:rPr>
                <w:rFonts w:hint="eastAsia" w:ascii="Times New Roman" w:hAnsi="Times New Roman" w:eastAsia="宋体" w:cs="Times New Roman"/>
                <w:b/>
                <w:bCs/>
                <w:color w:val="000000"/>
                <w:kern w:val="0"/>
                <w:sz w:val="21"/>
                <w:szCs w:val="21"/>
                <w:lang w:val="en-US" w:eastAsia="zh-CN" w:bidi="ar"/>
              </w:rPr>
              <w:t>1</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 xml:space="preserve"> 工业炉窑大气污染物排放标准</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325"/>
              <w:gridCol w:w="1868"/>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923"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污染物名称</w:t>
                  </w:r>
                </w:p>
              </w:tc>
              <w:tc>
                <w:tcPr>
                  <w:tcW w:w="1325"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排气筒高度</w:t>
                  </w:r>
                </w:p>
              </w:tc>
              <w:tc>
                <w:tcPr>
                  <w:tcW w:w="1868"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最高允许排放</w:t>
                  </w:r>
                </w:p>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浓度 （mg/m</w:t>
                  </w:r>
                  <w:r>
                    <w:rPr>
                      <w:rFonts w:hint="eastAsia" w:ascii="宋体" w:hAnsi="宋体" w:eastAsia="宋体" w:cs="宋体"/>
                      <w:sz w:val="21"/>
                      <w:szCs w:val="21"/>
                      <w:vertAlign w:val="superscript"/>
                      <w:lang w:val="en-US" w:eastAsia="zh-CN"/>
                    </w:rPr>
                    <w:t>3</w:t>
                  </w:r>
                  <w:r>
                    <w:rPr>
                      <w:rFonts w:hint="eastAsia" w:cs="宋体"/>
                      <w:sz w:val="21"/>
                      <w:szCs w:val="21"/>
                      <w:vertAlign w:val="baseline"/>
                      <w:lang w:val="en-US" w:eastAsia="zh-CN"/>
                    </w:rPr>
                    <w:t>）</w:t>
                  </w:r>
                </w:p>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tc>
              <w:tc>
                <w:tcPr>
                  <w:tcW w:w="1498"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3"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颗粒物</w:t>
                  </w:r>
                </w:p>
              </w:tc>
              <w:tc>
                <w:tcPr>
                  <w:tcW w:w="1325" w:type="dxa"/>
                  <w:vMerge w:val="restart"/>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15m</w:t>
                  </w:r>
                </w:p>
              </w:tc>
              <w:tc>
                <w:tcPr>
                  <w:tcW w:w="1868" w:type="dxa"/>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b w:val="0"/>
                      <w:bCs/>
                      <w:sz w:val="21"/>
                      <w:szCs w:val="21"/>
                      <w:lang w:val="en-US" w:eastAsia="zh-CN"/>
                    </w:rPr>
                    <w:t>20</w:t>
                  </w:r>
                </w:p>
              </w:tc>
              <w:tc>
                <w:tcPr>
                  <w:tcW w:w="1498" w:type="dxa"/>
                  <w:vMerge w:val="restart"/>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r>
                    <w:rPr>
                      <w:rFonts w:hint="eastAsia" w:ascii="Times New Roman" w:hAnsi="Times New Roman" w:eastAsia="宋体" w:cs="Times New Roman"/>
                      <w:color w:val="000000"/>
                      <w:sz w:val="21"/>
                      <w:szCs w:val="21"/>
                      <w:lang w:val="en-US" w:eastAsia="zh-CN"/>
                    </w:rPr>
                    <w:t>DB31 860-2014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3"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二氧化硫</w:t>
                  </w:r>
                </w:p>
              </w:tc>
              <w:tc>
                <w:tcPr>
                  <w:tcW w:w="1325" w:type="dxa"/>
                  <w:vMerge w:val="continue"/>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p>
              </w:tc>
              <w:tc>
                <w:tcPr>
                  <w:tcW w:w="1868" w:type="dxa"/>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b w:val="0"/>
                      <w:bCs/>
                      <w:sz w:val="21"/>
                      <w:szCs w:val="21"/>
                      <w:lang w:val="en-US" w:eastAsia="zh-CN"/>
                    </w:rPr>
                    <w:t>100</w:t>
                  </w:r>
                </w:p>
              </w:tc>
              <w:tc>
                <w:tcPr>
                  <w:tcW w:w="1498" w:type="dxa"/>
                  <w:vMerge w:val="continue"/>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3" w:type="dxa"/>
                  <w:vAlign w:val="center"/>
                </w:tcPr>
                <w:p>
                  <w:pPr>
                    <w:pStyle w:val="24"/>
                    <w:keepNext w:val="0"/>
                    <w:keepLines w:val="0"/>
                    <w:pageBreakBefore w:val="0"/>
                    <w:widowControl w:val="0"/>
                    <w:kinsoku/>
                    <w:wordWrap/>
                    <w:overflowPunct/>
                    <w:topLinePunct w:val="0"/>
                    <w:autoSpaceDE/>
                    <w:autoSpaceDN/>
                    <w:bidi w:val="0"/>
                    <w:spacing w:after="0" w:line="240" w:lineRule="auto"/>
                    <w:ind w:right="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氮氧化物</w:t>
                  </w:r>
                </w:p>
              </w:tc>
              <w:tc>
                <w:tcPr>
                  <w:tcW w:w="1325" w:type="dxa"/>
                  <w:vMerge w:val="continue"/>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p>
              </w:tc>
              <w:tc>
                <w:tcPr>
                  <w:tcW w:w="1868" w:type="dxa"/>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b w:val="0"/>
                      <w:bCs/>
                      <w:sz w:val="21"/>
                      <w:szCs w:val="21"/>
                      <w:lang w:val="en-US" w:eastAsia="zh-CN"/>
                    </w:rPr>
                    <w:t>200</w:t>
                  </w:r>
                </w:p>
              </w:tc>
              <w:tc>
                <w:tcPr>
                  <w:tcW w:w="1498" w:type="dxa"/>
                  <w:vMerge w:val="continue"/>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23" w:type="dxa"/>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烟气黑度</w:t>
                  </w:r>
                </w:p>
                <w:p>
                  <w:pPr>
                    <w:pStyle w:val="24"/>
                    <w:keepNext w:val="0"/>
                    <w:keepLines w:val="0"/>
                    <w:pageBreakBefore w:val="0"/>
                    <w:widowControl w:val="0"/>
                    <w:kinsoku/>
                    <w:wordWrap/>
                    <w:overflowPunct/>
                    <w:topLinePunct w:val="0"/>
                    <w:autoSpaceDE/>
                    <w:autoSpaceDN/>
                    <w:bidi w:val="0"/>
                    <w:spacing w:after="0" w:line="240" w:lineRule="auto"/>
                    <w:ind w:right="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（林格曼黑度，级）</w:t>
                  </w:r>
                </w:p>
              </w:tc>
              <w:tc>
                <w:tcPr>
                  <w:tcW w:w="1325" w:type="dxa"/>
                  <w:vMerge w:val="continue"/>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p>
              </w:tc>
              <w:tc>
                <w:tcPr>
                  <w:tcW w:w="1868" w:type="dxa"/>
                  <w:vAlign w:val="center"/>
                </w:tcPr>
                <w:p>
                  <w:pPr>
                    <w:pStyle w:val="6"/>
                    <w:keepNext w:val="0"/>
                    <w:keepLines w:val="0"/>
                    <w:pageBreakBefore w:val="0"/>
                    <w:widowControl w:val="0"/>
                    <w:kinsoku/>
                    <w:wordWrap/>
                    <w:overflowPunct/>
                    <w:topLinePunct w:val="0"/>
                    <w:autoSpaceDE/>
                    <w:autoSpaceDN/>
                    <w:bidi w:val="0"/>
                    <w:adjustRightInd/>
                    <w:snapToGrid/>
                    <w:spacing w:after="0" w:line="240" w:lineRule="auto"/>
                    <w:ind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eastAsia="宋体" w:cs="Times New Roman"/>
                      <w:b w:val="0"/>
                      <w:bCs/>
                      <w:sz w:val="21"/>
                      <w:szCs w:val="21"/>
                      <w:lang w:val="en-US" w:eastAsia="zh-CN"/>
                    </w:rPr>
                    <w:t>1</w:t>
                  </w:r>
                </w:p>
              </w:tc>
              <w:tc>
                <w:tcPr>
                  <w:tcW w:w="1498" w:type="dxa"/>
                  <w:vMerge w:val="continue"/>
                  <w:vAlign w:val="center"/>
                </w:tcPr>
                <w:p>
                  <w:pPr>
                    <w:pStyle w:val="24"/>
                    <w:keepNext w:val="0"/>
                    <w:keepLines w:val="0"/>
                    <w:pageBreakBefore w:val="0"/>
                    <w:widowControl w:val="0"/>
                    <w:kinsoku/>
                    <w:wordWrap/>
                    <w:overflowPunct/>
                    <w:topLinePunct w:val="0"/>
                    <w:autoSpaceDE/>
                    <w:autoSpaceDN/>
                    <w:bidi w:val="0"/>
                    <w:spacing w:after="0" w:line="240" w:lineRule="auto"/>
                    <w:ind w:right="0"/>
                    <w:textAlignment w:val="auto"/>
                    <w:rPr>
                      <w:rFonts w:hint="eastAsia" w:ascii="宋体" w:hAnsi="宋体" w:eastAsia="宋体" w:cs="宋体"/>
                      <w:sz w:val="21"/>
                      <w:szCs w:val="21"/>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70" w:firstLineChars="196"/>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生产废气颗粒物排放及火烧机液化石油气燃烧无组织排放执行《大气污染物综合排放标准》（GB16297－1996）二级标准及无组织排放监控浓度限值浓度，标准值见下表。</w:t>
            </w:r>
          </w:p>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cs="宋体"/>
                <w:b/>
                <w:bCs/>
                <w:color w:val="000000"/>
                <w:kern w:val="0"/>
                <w:sz w:val="21"/>
                <w:szCs w:val="21"/>
                <w:lang w:val="en-US" w:eastAsia="zh-CN" w:bidi="ar"/>
              </w:rPr>
            </w:pPr>
            <w:r>
              <w:rPr>
                <w:rFonts w:hint="default" w:ascii="宋体" w:hAnsi="宋体" w:eastAsia="宋体" w:cs="宋体"/>
                <w:b/>
                <w:bCs/>
                <w:color w:val="000000"/>
                <w:kern w:val="0"/>
                <w:sz w:val="21"/>
                <w:szCs w:val="21"/>
                <w:lang w:val="en-US" w:eastAsia="zh-CN" w:bidi="ar"/>
              </w:rPr>
              <w:t>表</w:t>
            </w:r>
            <w:r>
              <w:rPr>
                <w:rFonts w:hint="eastAsia" w:ascii="宋体" w:hAnsi="宋体" w:eastAsia="宋体" w:cs="宋体"/>
                <w:b/>
                <w:bCs/>
                <w:color w:val="000000"/>
                <w:kern w:val="0"/>
                <w:sz w:val="21"/>
                <w:szCs w:val="21"/>
                <w:lang w:val="en-US" w:eastAsia="zh-CN" w:bidi="ar"/>
              </w:rPr>
              <w:t>1-2</w:t>
            </w:r>
            <w:r>
              <w:rPr>
                <w:rFonts w:hint="default" w:ascii="宋体" w:hAnsi="宋体" w:eastAsia="宋体" w:cs="宋体"/>
                <w:b/>
                <w:bCs/>
                <w:color w:val="000000"/>
                <w:kern w:val="0"/>
                <w:sz w:val="21"/>
                <w:szCs w:val="21"/>
                <w:lang w:val="en-US" w:eastAsia="zh-CN" w:bidi="ar"/>
              </w:rPr>
              <w:t xml:space="preserve">   大气污染物综合排放标准限值</w:t>
            </w:r>
          </w:p>
          <w:tbl>
            <w:tblPr>
              <w:tblStyle w:val="17"/>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4"/>
              <w:gridCol w:w="1613"/>
              <w:gridCol w:w="1064"/>
              <w:gridCol w:w="862"/>
              <w:gridCol w:w="1010"/>
              <w:gridCol w:w="11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44" w:type="dxa"/>
                  <w:vMerge w:val="restart"/>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污染物</w:t>
                  </w:r>
                </w:p>
              </w:tc>
              <w:tc>
                <w:tcPr>
                  <w:tcW w:w="1613" w:type="dxa"/>
                  <w:vMerge w:val="restart"/>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最高允许排放浓度（mg/m</w:t>
                  </w:r>
                  <w:r>
                    <w:rPr>
                      <w:rFonts w:hint="default" w:ascii="Times New Roman" w:hAnsi="Times New Roman" w:eastAsia="宋体" w:cs="Times New Roman"/>
                      <w:b w:val="0"/>
                      <w:bCs/>
                      <w:sz w:val="21"/>
                      <w:szCs w:val="21"/>
                      <w:vertAlign w:val="superscript"/>
                    </w:rPr>
                    <w:t>3</w:t>
                  </w:r>
                  <w:r>
                    <w:rPr>
                      <w:rFonts w:hint="default" w:ascii="Times New Roman" w:hAnsi="Times New Roman" w:eastAsia="宋体" w:cs="Times New Roman"/>
                      <w:b w:val="0"/>
                      <w:bCs/>
                      <w:sz w:val="21"/>
                      <w:szCs w:val="21"/>
                    </w:rPr>
                    <w:t>）</w:t>
                  </w:r>
                </w:p>
              </w:tc>
              <w:tc>
                <w:tcPr>
                  <w:tcW w:w="1926" w:type="dxa"/>
                  <w:gridSpan w:val="2"/>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最高允许排放速率（kg/h）</w:t>
                  </w:r>
                </w:p>
              </w:tc>
              <w:tc>
                <w:tcPr>
                  <w:tcW w:w="2122" w:type="dxa"/>
                  <w:gridSpan w:val="2"/>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44" w:type="dxa"/>
                  <w:vMerge w:val="continue"/>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p>
              </w:tc>
              <w:tc>
                <w:tcPr>
                  <w:tcW w:w="1613" w:type="dxa"/>
                  <w:vMerge w:val="continue"/>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p>
              </w:tc>
              <w:tc>
                <w:tcPr>
                  <w:tcW w:w="106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排气筒（m）</w:t>
                  </w:r>
                </w:p>
              </w:tc>
              <w:tc>
                <w:tcPr>
                  <w:tcW w:w="86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二级</w:t>
                  </w:r>
                </w:p>
              </w:tc>
              <w:tc>
                <w:tcPr>
                  <w:tcW w:w="1010"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监控点</w:t>
                  </w:r>
                </w:p>
              </w:tc>
              <w:tc>
                <w:tcPr>
                  <w:tcW w:w="111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浓度（mg/m</w:t>
                  </w:r>
                  <w:r>
                    <w:rPr>
                      <w:rFonts w:hint="default" w:ascii="Times New Roman" w:hAnsi="Times New Roman" w:eastAsia="宋体" w:cs="Times New Roman"/>
                      <w:b w:val="0"/>
                      <w:bCs/>
                      <w:sz w:val="21"/>
                      <w:szCs w:val="21"/>
                      <w:vertAlign w:val="superscript"/>
                    </w:rPr>
                    <w:t>3</w:t>
                  </w:r>
                  <w:r>
                    <w:rPr>
                      <w:rFonts w:hint="default" w:ascii="Times New Roman" w:hAnsi="Times New Roman" w:eastAsia="宋体" w:cs="Times New Roman"/>
                      <w:b w:val="0"/>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4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颗粒物</w:t>
                  </w:r>
                </w:p>
              </w:tc>
              <w:tc>
                <w:tcPr>
                  <w:tcW w:w="1613"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120</w:t>
                  </w:r>
                </w:p>
              </w:tc>
              <w:tc>
                <w:tcPr>
                  <w:tcW w:w="106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15</w:t>
                  </w:r>
                </w:p>
              </w:tc>
              <w:tc>
                <w:tcPr>
                  <w:tcW w:w="86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3.5</w:t>
                  </w:r>
                </w:p>
              </w:tc>
              <w:tc>
                <w:tcPr>
                  <w:tcW w:w="1010" w:type="dxa"/>
                  <w:vMerge w:val="restart"/>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周界外浓度最高点</w:t>
                  </w:r>
                </w:p>
              </w:tc>
              <w:tc>
                <w:tcPr>
                  <w:tcW w:w="111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4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SO</w:t>
                  </w:r>
                  <w:r>
                    <w:rPr>
                      <w:rFonts w:hint="default" w:ascii="Times New Roman" w:hAnsi="Times New Roman" w:eastAsia="宋体" w:cs="Times New Roman"/>
                      <w:b w:val="0"/>
                      <w:bCs/>
                      <w:sz w:val="21"/>
                      <w:szCs w:val="21"/>
                      <w:vertAlign w:val="subscript"/>
                      <w:lang w:val="en-US" w:eastAsia="zh-CN"/>
                    </w:rPr>
                    <w:t>2</w:t>
                  </w:r>
                </w:p>
              </w:tc>
              <w:tc>
                <w:tcPr>
                  <w:tcW w:w="1613"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550</w:t>
                  </w:r>
                </w:p>
              </w:tc>
              <w:tc>
                <w:tcPr>
                  <w:tcW w:w="106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86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2.6</w:t>
                  </w:r>
                </w:p>
              </w:tc>
              <w:tc>
                <w:tcPr>
                  <w:tcW w:w="1010" w:type="dxa"/>
                  <w:vMerge w:val="continue"/>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p>
              </w:tc>
              <w:tc>
                <w:tcPr>
                  <w:tcW w:w="111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4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NOx</w:t>
                  </w:r>
                </w:p>
              </w:tc>
              <w:tc>
                <w:tcPr>
                  <w:tcW w:w="1613"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240</w:t>
                  </w:r>
                </w:p>
              </w:tc>
              <w:tc>
                <w:tcPr>
                  <w:tcW w:w="1064"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c>
                <w:tcPr>
                  <w:tcW w:w="86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0.77</w:t>
                  </w:r>
                </w:p>
              </w:tc>
              <w:tc>
                <w:tcPr>
                  <w:tcW w:w="1010" w:type="dxa"/>
                  <w:vMerge w:val="continue"/>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rPr>
                  </w:pPr>
                </w:p>
              </w:tc>
              <w:tc>
                <w:tcPr>
                  <w:tcW w:w="1112" w:type="dxa"/>
                  <w:tcBorders>
                    <w:tl2br w:val="nil"/>
                    <w:tr2bl w:val="nil"/>
                  </w:tcBorders>
                  <w:noWrap w:val="0"/>
                  <w:vAlign w:val="center"/>
                </w:tcPr>
                <w:p>
                  <w:pPr>
                    <w:pStyle w:val="6"/>
                    <w:keepNext w:val="0"/>
                    <w:keepLines w:val="0"/>
                    <w:pageBreakBefore w:val="0"/>
                    <w:widowControl/>
                    <w:kinsoku/>
                    <w:wordWrap/>
                    <w:overflowPunct/>
                    <w:topLinePunct w:val="0"/>
                    <w:autoSpaceDE/>
                    <w:autoSpaceDN/>
                    <w:bidi w:val="0"/>
                    <w:adjustRightInd w:val="0"/>
                    <w:snapToGrid w:val="0"/>
                    <w:spacing w:after="0"/>
                    <w:ind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0.12</w:t>
                  </w:r>
                </w:p>
              </w:tc>
            </w:tr>
          </w:tbl>
          <w:p>
            <w:pPr>
              <w:keepNext w:val="0"/>
              <w:keepLines w:val="0"/>
              <w:pageBreakBefore w:val="0"/>
              <w:widowControl/>
              <w:numPr>
                <w:ilvl w:val="0"/>
                <w:numId w:val="0"/>
              </w:numPr>
              <w:tabs>
                <w:tab w:val="left" w:pos="274"/>
              </w:tabs>
              <w:kinsoku/>
              <w:wordWrap/>
              <w:overflowPunct/>
              <w:topLinePunct w:val="0"/>
              <w:autoSpaceDE/>
              <w:autoSpaceDN/>
              <w:bidi w:val="0"/>
              <w:adjustRightInd w:val="0"/>
              <w:snapToGrid w:val="0"/>
              <w:spacing w:after="0" w:line="520" w:lineRule="exact"/>
              <w:ind w:firstLine="482" w:firstLineChars="200"/>
              <w:jc w:val="both"/>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2、废水排放标准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70" w:firstLineChars="196"/>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建设</w:t>
            </w:r>
            <w:r>
              <w:rPr>
                <w:rFonts w:hint="eastAsia" w:ascii="Times New Roman" w:hAnsi="Times New Roman" w:eastAsia="宋体" w:cs="Times New Roman"/>
                <w:sz w:val="24"/>
                <w:szCs w:val="24"/>
                <w:lang w:val="en-US" w:eastAsia="zh-CN"/>
              </w:rPr>
              <w:t>无生产</w:t>
            </w:r>
            <w:r>
              <w:rPr>
                <w:rFonts w:hint="default" w:ascii="Times New Roman" w:hAnsi="Times New Roman" w:eastAsia="宋体" w:cs="Times New Roman"/>
                <w:sz w:val="24"/>
                <w:szCs w:val="24"/>
                <w:lang w:val="en-US" w:eastAsia="zh-CN"/>
              </w:rPr>
              <w:t>废水</w:t>
            </w:r>
            <w:r>
              <w:rPr>
                <w:rFonts w:hint="eastAsia" w:ascii="Times New Roman" w:hAnsi="Times New Roman" w:eastAsia="宋体" w:cs="Times New Roman"/>
                <w:sz w:val="24"/>
                <w:szCs w:val="24"/>
                <w:lang w:val="en-US" w:eastAsia="zh-CN"/>
              </w:rPr>
              <w:t>产生，生活污水接管前</w:t>
            </w:r>
            <w:r>
              <w:rPr>
                <w:rFonts w:hint="default" w:ascii="Times New Roman" w:hAnsi="Times New Roman" w:eastAsia="宋体" w:cs="Times New Roman"/>
                <w:sz w:val="24"/>
                <w:szCs w:val="24"/>
                <w:lang w:val="en-US" w:eastAsia="zh-CN"/>
              </w:rPr>
              <w:t>执行《污水综合排放标准》（GB8978-1996）一级标准</w:t>
            </w:r>
            <w:r>
              <w:rPr>
                <w:rFonts w:hint="eastAsia" w:ascii="Times New Roman" w:hAnsi="Times New Roman" w:eastAsia="宋体" w:cs="Times New Roman"/>
                <w:sz w:val="24"/>
                <w:szCs w:val="24"/>
                <w:lang w:val="en-US" w:eastAsia="zh-CN"/>
              </w:rPr>
              <w:t>；待汪溪殷白拓展区污水处理站及管网建设完成后，执行殷白污水处理厂接管标准，</w:t>
            </w:r>
            <w:r>
              <w:rPr>
                <w:rFonts w:hint="default" w:ascii="Times New Roman" w:hAnsi="Times New Roman" w:eastAsia="宋体" w:cs="Times New Roman"/>
                <w:sz w:val="24"/>
                <w:szCs w:val="24"/>
                <w:lang w:val="en-US" w:eastAsia="zh-CN"/>
              </w:rPr>
              <w:t>具体标准限值见下表：</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b/>
                <w:bCs/>
                <w:sz w:val="24"/>
                <w:szCs w:val="24"/>
              </w:rPr>
            </w:pPr>
            <w:r>
              <w:rPr>
                <w:rFonts w:hint="default" w:ascii="宋体" w:hAnsi="宋体" w:eastAsia="宋体" w:cs="宋体"/>
                <w:b/>
                <w:bCs/>
                <w:color w:val="000000"/>
                <w:kern w:val="0"/>
                <w:sz w:val="21"/>
                <w:szCs w:val="21"/>
                <w:lang w:val="en-US" w:eastAsia="zh-CN" w:bidi="ar"/>
              </w:rPr>
              <w:t>表</w:t>
            </w:r>
            <w:r>
              <w:rPr>
                <w:rFonts w:hint="eastAsia" w:ascii="宋体" w:hAnsi="宋体" w:eastAsia="宋体" w:cs="宋体"/>
                <w:b/>
                <w:bCs/>
                <w:color w:val="000000"/>
                <w:kern w:val="0"/>
                <w:sz w:val="21"/>
                <w:szCs w:val="21"/>
                <w:lang w:val="en-US" w:eastAsia="zh-CN" w:bidi="ar"/>
              </w:rPr>
              <w:t>1-3  生活污水排放标准  单位： mg/L，pH除外</w:t>
            </w:r>
          </w:p>
          <w:tbl>
            <w:tblPr>
              <w:tblStyle w:val="17"/>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36"/>
              <w:gridCol w:w="816"/>
              <w:gridCol w:w="899"/>
              <w:gridCol w:w="884"/>
              <w:gridCol w:w="967"/>
              <w:gridCol w:w="10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7"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污染物名称</w:t>
                  </w:r>
                </w:p>
              </w:tc>
              <w:tc>
                <w:tcPr>
                  <w:tcW w:w="816"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pH</w:t>
                  </w:r>
                </w:p>
              </w:tc>
              <w:tc>
                <w:tcPr>
                  <w:tcW w:w="899"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CODcr</w:t>
                  </w:r>
                </w:p>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884"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967"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SS</w:t>
                  </w:r>
                </w:p>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(mg/L)</w:t>
                  </w:r>
                </w:p>
              </w:tc>
              <w:tc>
                <w:tcPr>
                  <w:tcW w:w="1006"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7"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殷白</w:t>
                  </w:r>
                  <w:r>
                    <w:rPr>
                      <w:rFonts w:hint="default" w:ascii="Times New Roman" w:hAnsi="Times New Roman" w:cs="Times New Roman"/>
                      <w:sz w:val="21"/>
                      <w:szCs w:val="21"/>
                    </w:rPr>
                    <w:t>污水处理厂接管标准</w:t>
                  </w:r>
                </w:p>
              </w:tc>
              <w:tc>
                <w:tcPr>
                  <w:tcW w:w="816"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6~9</w:t>
                  </w:r>
                </w:p>
              </w:tc>
              <w:tc>
                <w:tcPr>
                  <w:tcW w:w="8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250</w:t>
                  </w:r>
                </w:p>
              </w:tc>
              <w:tc>
                <w:tcPr>
                  <w:tcW w:w="8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120</w:t>
                  </w:r>
                </w:p>
              </w:tc>
              <w:tc>
                <w:tcPr>
                  <w:tcW w:w="9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200</w:t>
                  </w:r>
                </w:p>
              </w:tc>
              <w:tc>
                <w:tcPr>
                  <w:tcW w:w="10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37" w:type="dxa"/>
                  <w:tcBorders>
                    <w:tl2br w:val="nil"/>
                    <w:tr2bl w:val="nil"/>
                  </w:tcBorders>
                  <w:noWrap w:val="0"/>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cs="Times New Roman"/>
                      <w:sz w:val="21"/>
                      <w:szCs w:val="21"/>
                    </w:rPr>
                  </w:pPr>
                  <w:r>
                    <w:rPr>
                      <w:rFonts w:hint="default" w:ascii="Times New Roman" w:hAnsi="Times New Roman" w:cs="Times New Roman"/>
                      <w:sz w:val="21"/>
                      <w:szCs w:val="21"/>
                    </w:rPr>
                    <w:t>《污水综合排放标准》（GB8978-1996）</w:t>
                  </w:r>
                  <w:r>
                    <w:rPr>
                      <w:rFonts w:hint="default" w:ascii="Times New Roman" w:hAnsi="Times New Roman" w:cs="Times New Roman"/>
                      <w:sz w:val="21"/>
                      <w:szCs w:val="21"/>
                      <w:lang w:val="en-US" w:eastAsia="zh-CN"/>
                    </w:rPr>
                    <w:t>一</w:t>
                  </w:r>
                  <w:r>
                    <w:rPr>
                      <w:rFonts w:hint="default" w:ascii="Times New Roman" w:hAnsi="Times New Roman" w:cs="Times New Roman"/>
                      <w:sz w:val="21"/>
                      <w:szCs w:val="21"/>
                    </w:rPr>
                    <w:t>级标准</w:t>
                  </w:r>
                </w:p>
              </w:tc>
              <w:tc>
                <w:tcPr>
                  <w:tcW w:w="8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sz w:val="21"/>
                      <w:szCs w:val="21"/>
                    </w:rPr>
                  </w:pPr>
                  <w:r>
                    <w:rPr>
                      <w:rFonts w:hint="default" w:ascii="Times New Roman" w:hAnsi="Times New Roman" w:cs="Times New Roman"/>
                      <w:bCs/>
                      <w:color w:val="auto"/>
                      <w:sz w:val="21"/>
                      <w:szCs w:val="21"/>
                    </w:rPr>
                    <w:t>6~9</w:t>
                  </w:r>
                </w:p>
              </w:tc>
              <w:tc>
                <w:tcPr>
                  <w:tcW w:w="89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sz w:val="21"/>
                      <w:szCs w:val="21"/>
                    </w:rPr>
                  </w:pPr>
                  <w:r>
                    <w:rPr>
                      <w:rFonts w:hint="default" w:ascii="Times New Roman" w:hAnsi="Times New Roman" w:cs="Times New Roman"/>
                      <w:bCs/>
                      <w:color w:val="auto"/>
                      <w:sz w:val="21"/>
                      <w:szCs w:val="21"/>
                    </w:rPr>
                    <w:t>100</w:t>
                  </w:r>
                </w:p>
              </w:tc>
              <w:tc>
                <w:tcPr>
                  <w:tcW w:w="8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sz w:val="21"/>
                      <w:szCs w:val="21"/>
                    </w:rPr>
                  </w:pPr>
                  <w:r>
                    <w:rPr>
                      <w:rFonts w:hint="default" w:ascii="Times New Roman" w:hAnsi="Times New Roman" w:cs="Times New Roman"/>
                      <w:bCs/>
                      <w:color w:val="auto"/>
                      <w:sz w:val="21"/>
                      <w:szCs w:val="21"/>
                    </w:rPr>
                    <w:t>20</w:t>
                  </w:r>
                </w:p>
              </w:tc>
              <w:tc>
                <w:tcPr>
                  <w:tcW w:w="96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sz w:val="21"/>
                      <w:szCs w:val="21"/>
                    </w:rPr>
                  </w:pPr>
                  <w:r>
                    <w:rPr>
                      <w:rFonts w:hint="default" w:ascii="Times New Roman" w:hAnsi="Times New Roman" w:cs="Times New Roman"/>
                      <w:bCs/>
                      <w:color w:val="auto"/>
                      <w:sz w:val="21"/>
                      <w:szCs w:val="21"/>
                    </w:rPr>
                    <w:t>70</w:t>
                  </w:r>
                </w:p>
              </w:tc>
              <w:tc>
                <w:tcPr>
                  <w:tcW w:w="100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sz w:val="21"/>
                      <w:szCs w:val="21"/>
                    </w:rPr>
                  </w:pPr>
                  <w:r>
                    <w:rPr>
                      <w:rFonts w:hint="default" w:ascii="Times New Roman" w:hAnsi="Times New Roman" w:cs="Times New Roman"/>
                      <w:bCs/>
                      <w:color w:val="auto"/>
                      <w:sz w:val="21"/>
                      <w:szCs w:val="21"/>
                    </w:rPr>
                    <w:t>15</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color w:val="000000"/>
                <w:sz w:val="24"/>
                <w:szCs w:val="24"/>
              </w:rPr>
              <w:t xml:space="preserve"> </w:t>
            </w: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en-US" w:eastAsia="zh-CN"/>
              </w:rPr>
              <w:t>噪声排放标准</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ascii="Times New Roman" w:hAnsi="Times New Roman" w:eastAsia="宋体"/>
                <w:sz w:val="24"/>
                <w:szCs w:val="24"/>
              </w:rPr>
            </w:pPr>
            <w:r>
              <w:rPr>
                <w:rFonts w:ascii="Times New Roman" w:hAnsi="Times New Roman" w:eastAsia="宋体"/>
                <w:sz w:val="24"/>
                <w:szCs w:val="24"/>
              </w:rPr>
              <w:t>项目厂界环境噪声执行《工业企业厂界环境噪声排放标准》（GB12348-2008）表1中的</w:t>
            </w:r>
            <w:r>
              <w:rPr>
                <w:rFonts w:hint="eastAsia" w:ascii="Times New Roman" w:hAnsi="Times New Roman" w:eastAsia="宋体"/>
                <w:sz w:val="24"/>
                <w:szCs w:val="24"/>
                <w:lang w:val="en-US" w:eastAsia="zh-CN"/>
              </w:rPr>
              <w:t>3</w:t>
            </w:r>
            <w:r>
              <w:rPr>
                <w:rFonts w:ascii="Times New Roman" w:hAnsi="Times New Roman" w:eastAsia="宋体"/>
                <w:sz w:val="24"/>
                <w:szCs w:val="24"/>
              </w:rPr>
              <w:t>类功能区标准，详见下表：</w:t>
            </w:r>
          </w:p>
          <w:p>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Style w:val="23"/>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1-4</w:t>
            </w:r>
            <w:r>
              <w:rPr>
                <w:rFonts w:hint="default"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 xml:space="preserve"> 噪声排放标准</w:t>
            </w:r>
          </w:p>
          <w:tbl>
            <w:tblPr>
              <w:tblStyle w:val="17"/>
              <w:tblW w:w="67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3"/>
              <w:gridCol w:w="1836"/>
              <w:gridCol w:w="1674"/>
              <w:gridCol w:w="16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1553" w:type="dxa"/>
                  <w:vMerge w:val="restart"/>
                  <w:tcBorders>
                    <w:tl2br w:val="nil"/>
                    <w:tr2bl w:val="nil"/>
                  </w:tcBorders>
                  <w:vAlign w:val="center"/>
                </w:tcPr>
                <w:p>
                  <w:pPr>
                    <w:pStyle w:val="24"/>
                    <w:rPr>
                      <w:rFonts w:ascii="Times New Roman" w:hAnsi="Times New Roman"/>
                      <w:sz w:val="21"/>
                      <w:szCs w:val="21"/>
                    </w:rPr>
                  </w:pPr>
                  <w:r>
                    <w:rPr>
                      <w:rFonts w:ascii="Times New Roman" w:hAnsi="Times New Roman"/>
                      <w:sz w:val="21"/>
                      <w:szCs w:val="21"/>
                    </w:rPr>
                    <w:t>位置</w:t>
                  </w:r>
                </w:p>
              </w:tc>
              <w:tc>
                <w:tcPr>
                  <w:tcW w:w="1836" w:type="dxa"/>
                  <w:vMerge w:val="restart"/>
                  <w:tcBorders>
                    <w:tl2br w:val="nil"/>
                    <w:tr2bl w:val="nil"/>
                  </w:tcBorders>
                  <w:vAlign w:val="center"/>
                </w:tcPr>
                <w:p>
                  <w:pPr>
                    <w:pStyle w:val="24"/>
                    <w:rPr>
                      <w:rFonts w:ascii="Times New Roman" w:hAnsi="Times New Roman"/>
                      <w:sz w:val="21"/>
                      <w:szCs w:val="21"/>
                    </w:rPr>
                  </w:pPr>
                  <w:r>
                    <w:rPr>
                      <w:rFonts w:ascii="Times New Roman" w:hAnsi="Times New Roman"/>
                      <w:sz w:val="21"/>
                      <w:szCs w:val="21"/>
                    </w:rPr>
                    <w:t>采用标准</w:t>
                  </w:r>
                </w:p>
              </w:tc>
              <w:tc>
                <w:tcPr>
                  <w:tcW w:w="3349" w:type="dxa"/>
                  <w:gridSpan w:val="2"/>
                  <w:tcBorders>
                    <w:tl2br w:val="nil"/>
                    <w:tr2bl w:val="nil"/>
                  </w:tcBorders>
                  <w:vAlign w:val="center"/>
                </w:tcPr>
                <w:p>
                  <w:pPr>
                    <w:pStyle w:val="24"/>
                    <w:rPr>
                      <w:rFonts w:ascii="Times New Roman" w:hAnsi="Times New Roman"/>
                      <w:sz w:val="21"/>
                      <w:szCs w:val="21"/>
                    </w:rPr>
                  </w:pPr>
                  <w:r>
                    <w:rPr>
                      <w:rFonts w:ascii="Times New Roman" w:hAnsi="Times New Roman"/>
                      <w:sz w:val="21"/>
                      <w:szCs w:val="21"/>
                    </w:rPr>
                    <w:t>标准值[dB（A）]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1553" w:type="dxa"/>
                  <w:vMerge w:val="continue"/>
                  <w:tcBorders>
                    <w:tl2br w:val="nil"/>
                    <w:tr2bl w:val="nil"/>
                  </w:tcBorders>
                  <w:vAlign w:val="center"/>
                </w:tcPr>
                <w:p>
                  <w:pPr>
                    <w:pStyle w:val="24"/>
                    <w:rPr>
                      <w:rFonts w:ascii="Times New Roman" w:hAnsi="Times New Roman"/>
                      <w:sz w:val="21"/>
                      <w:szCs w:val="21"/>
                    </w:rPr>
                  </w:pPr>
                </w:p>
              </w:tc>
              <w:tc>
                <w:tcPr>
                  <w:tcW w:w="1836" w:type="dxa"/>
                  <w:vMerge w:val="continue"/>
                  <w:tcBorders>
                    <w:tl2br w:val="nil"/>
                    <w:tr2bl w:val="nil"/>
                  </w:tcBorders>
                  <w:vAlign w:val="center"/>
                </w:tcPr>
                <w:p>
                  <w:pPr>
                    <w:pStyle w:val="24"/>
                    <w:rPr>
                      <w:rFonts w:ascii="Times New Roman" w:hAnsi="Times New Roman"/>
                      <w:sz w:val="21"/>
                      <w:szCs w:val="21"/>
                    </w:rPr>
                  </w:pPr>
                </w:p>
              </w:tc>
              <w:tc>
                <w:tcPr>
                  <w:tcW w:w="1674" w:type="dxa"/>
                  <w:tcBorders>
                    <w:tl2br w:val="nil"/>
                    <w:tr2bl w:val="nil"/>
                  </w:tcBorders>
                  <w:vAlign w:val="center"/>
                </w:tcPr>
                <w:p>
                  <w:pPr>
                    <w:pStyle w:val="24"/>
                    <w:rPr>
                      <w:rFonts w:ascii="Times New Roman" w:hAnsi="Times New Roman"/>
                      <w:sz w:val="21"/>
                      <w:szCs w:val="21"/>
                    </w:rPr>
                  </w:pPr>
                  <w:r>
                    <w:rPr>
                      <w:rFonts w:ascii="Times New Roman" w:hAnsi="Times New Roman"/>
                      <w:sz w:val="21"/>
                      <w:szCs w:val="21"/>
                    </w:rPr>
                    <w:t>昼间</w:t>
                  </w:r>
                </w:p>
              </w:tc>
              <w:tc>
                <w:tcPr>
                  <w:tcW w:w="1675" w:type="dxa"/>
                  <w:tcBorders>
                    <w:tl2br w:val="nil"/>
                    <w:tr2bl w:val="nil"/>
                  </w:tcBorders>
                  <w:vAlign w:val="center"/>
                </w:tcPr>
                <w:p>
                  <w:pPr>
                    <w:pStyle w:val="24"/>
                    <w:rPr>
                      <w:rFonts w:ascii="Times New Roman" w:hAnsi="Times New Roman"/>
                      <w:sz w:val="21"/>
                      <w:szCs w:val="21"/>
                    </w:rPr>
                  </w:pPr>
                  <w:r>
                    <w:rPr>
                      <w:rFonts w:ascii="Times New Roman" w:hAnsi="Times New Roman"/>
                      <w:sz w:val="21"/>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1553" w:type="dxa"/>
                  <w:tcBorders>
                    <w:tl2br w:val="nil"/>
                    <w:tr2bl w:val="nil"/>
                  </w:tcBorders>
                  <w:vAlign w:val="center"/>
                </w:tcPr>
                <w:p>
                  <w:pPr>
                    <w:pStyle w:val="24"/>
                    <w:rPr>
                      <w:rFonts w:ascii="Times New Roman" w:hAnsi="Times New Roman"/>
                      <w:sz w:val="21"/>
                      <w:szCs w:val="21"/>
                    </w:rPr>
                  </w:pPr>
                  <w:r>
                    <w:rPr>
                      <w:rFonts w:ascii="Times New Roman" w:hAnsi="Times New Roman"/>
                      <w:sz w:val="21"/>
                      <w:szCs w:val="21"/>
                    </w:rPr>
                    <w:t>厂界四周</w:t>
                  </w:r>
                </w:p>
              </w:tc>
              <w:tc>
                <w:tcPr>
                  <w:tcW w:w="1836" w:type="dxa"/>
                  <w:tcBorders>
                    <w:tl2br w:val="nil"/>
                    <w:tr2bl w:val="nil"/>
                  </w:tcBorders>
                  <w:vAlign w:val="center"/>
                </w:tcPr>
                <w:p>
                  <w:pPr>
                    <w:pStyle w:val="24"/>
                    <w:rPr>
                      <w:rFonts w:ascii="Times New Roman" w:hAnsi="Times New Roman"/>
                      <w:sz w:val="21"/>
                      <w:szCs w:val="21"/>
                    </w:rPr>
                  </w:pPr>
                  <w:r>
                    <w:rPr>
                      <w:rFonts w:hint="eastAsia" w:ascii="Times New Roman" w:hAnsi="Times New Roman"/>
                      <w:sz w:val="21"/>
                      <w:szCs w:val="21"/>
                      <w:lang w:val="en-US" w:eastAsia="zh-CN"/>
                    </w:rPr>
                    <w:t>3</w:t>
                  </w:r>
                  <w:r>
                    <w:rPr>
                      <w:rFonts w:ascii="Times New Roman" w:hAnsi="Times New Roman"/>
                      <w:sz w:val="21"/>
                      <w:szCs w:val="21"/>
                    </w:rPr>
                    <w:t>类</w:t>
                  </w:r>
                </w:p>
              </w:tc>
              <w:tc>
                <w:tcPr>
                  <w:tcW w:w="1674" w:type="dxa"/>
                  <w:tcBorders>
                    <w:tl2br w:val="nil"/>
                    <w:tr2bl w:val="nil"/>
                  </w:tcBorders>
                  <w:vAlign w:val="center"/>
                </w:tcPr>
                <w:p>
                  <w:pPr>
                    <w:pStyle w:val="24"/>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65</w:t>
                  </w:r>
                </w:p>
              </w:tc>
              <w:tc>
                <w:tcPr>
                  <w:tcW w:w="1675" w:type="dxa"/>
                  <w:tcBorders>
                    <w:tl2br w:val="nil"/>
                    <w:tr2bl w:val="nil"/>
                  </w:tcBorders>
                  <w:vAlign w:val="center"/>
                </w:tcPr>
                <w:p>
                  <w:pPr>
                    <w:pStyle w:val="24"/>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55</w:t>
                  </w:r>
                </w:p>
              </w:tc>
            </w:tr>
          </w:tbl>
          <w:p>
            <w:pPr>
              <w:pStyle w:val="4"/>
              <w:pageBreakBefore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eastAsia="宋体" w:cs="Times New Roman"/>
                <w:b/>
                <w:bCs w:val="0"/>
                <w:sz w:val="24"/>
                <w:szCs w:val="24"/>
              </w:rPr>
            </w:pPr>
            <w:bookmarkStart w:id="0" w:name="_Toc22086"/>
            <w:r>
              <w:rPr>
                <w:rFonts w:hint="default" w:ascii="Times New Roman" w:hAnsi="Times New Roman" w:eastAsia="宋体" w:cs="Times New Roman"/>
                <w:b/>
                <w:bCs w:val="0"/>
                <w:sz w:val="24"/>
                <w:szCs w:val="24"/>
              </w:rPr>
              <w:t>4、固体废弃物排放执行标准</w:t>
            </w:r>
            <w:bookmarkEnd w:id="0"/>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一般固废：执行</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一般工业固体废物贮存</w:t>
            </w:r>
            <w:r>
              <w:rPr>
                <w:rFonts w:hint="eastAsia" w:ascii="Times New Roman" w:hAnsi="Times New Roman" w:eastAsia="宋体" w:cs="Times New Roman"/>
                <w:color w:val="auto"/>
                <w:sz w:val="24"/>
                <w:szCs w:val="24"/>
                <w:lang w:val="en-US" w:eastAsia="zh-CN"/>
              </w:rPr>
              <w:t>与填埋</w:t>
            </w:r>
            <w:r>
              <w:rPr>
                <w:rFonts w:hint="default" w:ascii="Times New Roman" w:hAnsi="Times New Roman" w:eastAsia="宋体" w:cs="Times New Roman"/>
                <w:color w:val="auto"/>
                <w:sz w:val="24"/>
                <w:szCs w:val="24"/>
                <w:lang w:val="en-US" w:eastAsia="zh-CN"/>
              </w:rPr>
              <w:t>污染控制标准</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GB18599-20</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w:t>
            </w:r>
            <w:r>
              <w:rPr>
                <w:rFonts w:hint="default" w:ascii="Times New Roman" w:hAnsi="Times New Roman" w:eastAsia="宋体" w:cs="Times New Roman"/>
                <w:sz w:val="24"/>
                <w:szCs w:val="24"/>
              </w:rPr>
              <w:t>修改单中的有关规定。</w:t>
            </w:r>
          </w:p>
          <w:p>
            <w:pPr>
              <w:pStyle w:val="2"/>
              <w:keepNext w:val="0"/>
              <w:keepLines w:val="0"/>
              <w:pageBreakBefore w:val="0"/>
              <w:widowControl/>
              <w:kinsoku/>
              <w:wordWrap/>
              <w:overflowPunct/>
              <w:topLinePunct w:val="0"/>
              <w:autoSpaceDE/>
              <w:autoSpaceDN/>
              <w:bidi w:val="0"/>
              <w:adjustRightInd w:val="0"/>
              <w:snapToGrid w:val="0"/>
              <w:spacing w:line="520" w:lineRule="exact"/>
              <w:ind w:firstLine="480" w:firstLineChars="200"/>
              <w:textAlignment w:val="auto"/>
              <w:rPr>
                <w:rFonts w:hint="eastAsia"/>
                <w:lang w:val="en-US" w:eastAsia="zh-CN"/>
              </w:rPr>
            </w:pPr>
            <w:r>
              <w:rPr>
                <w:rFonts w:hint="eastAsia" w:eastAsia="宋体"/>
                <w:sz w:val="24"/>
                <w:szCs w:val="24"/>
                <w:lang w:val="en-US" w:eastAsia="zh-CN"/>
              </w:rPr>
              <w:t>危险废物：</w:t>
            </w:r>
            <w:r>
              <w:rPr>
                <w:rFonts w:hint="default" w:ascii="Times New Roman" w:hAnsi="Times New Roman" w:eastAsia="宋体" w:cs="Times New Roman"/>
                <w:sz w:val="24"/>
                <w:szCs w:val="24"/>
                <w:lang w:val="en-US" w:eastAsia="zh-CN"/>
              </w:rPr>
              <w:t>执行</w:t>
            </w:r>
            <w:r>
              <w:rPr>
                <w:rFonts w:hint="default" w:ascii="Times New Roman" w:hAnsi="Times New Roman" w:eastAsia="宋体" w:cs="Times New Roman"/>
                <w:color w:val="auto"/>
                <w:sz w:val="24"/>
                <w:u w:val="none" w:color="auto"/>
              </w:rPr>
              <w:t>《危险废物污染防治技术政策》（环发[2001]199号）和《危险废物贮存污染控制标准》（GB18597-2001）及修改单等文件、技术规范要求</w:t>
            </w:r>
            <w:r>
              <w:rPr>
                <w:rFonts w:hint="eastAsia" w:ascii="Times New Roman" w:hAnsi="Times New Roman" w:eastAsia="宋体" w:cs="Times New Roman"/>
                <w:color w:val="auto"/>
                <w:sz w:val="24"/>
                <w:u w:val="none" w:color="auto"/>
                <w:lang w:eastAsia="zh-CN"/>
              </w:rPr>
              <w:t>。</w:t>
            </w:r>
          </w:p>
          <w:p>
            <w:pPr>
              <w:pageBreakBefore w:val="0"/>
              <w:numPr>
                <w:ilvl w:val="0"/>
                <w:numId w:val="1"/>
              </w:numPr>
              <w:kinsoku/>
              <w:wordWrap/>
              <w:overflowPunct/>
              <w:topLinePunct w:val="0"/>
              <w:autoSpaceDE/>
              <w:autoSpaceDN/>
              <w:bidi w:val="0"/>
              <w:adjustRightInd w:val="0"/>
              <w:snapToGrid w:val="0"/>
              <w:spacing w:after="0" w:line="520" w:lineRule="exact"/>
              <w:ind w:left="-30" w:leftChars="0" w:firstLine="472" w:firstLineChars="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总量控制建议值：</w:t>
            </w:r>
          </w:p>
          <w:p>
            <w:pPr>
              <w:spacing w:after="0" w:line="460" w:lineRule="exact"/>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eastAsia" w:ascii="Times New Roman" w:hAnsi="Times New Roman" w:eastAsia="宋体" w:cs="Times New Roman"/>
                <w:b/>
                <w:color w:val="000000"/>
                <w:sz w:val="21"/>
                <w:szCs w:val="21"/>
                <w:lang w:val="en-US" w:eastAsia="zh-CN"/>
              </w:rPr>
              <w:t>1-5</w:t>
            </w:r>
            <w:r>
              <w:rPr>
                <w:rFonts w:hint="default" w:ascii="Times New Roman" w:hAnsi="Times New Roman" w:eastAsia="宋体" w:cs="Times New Roman"/>
                <w:b/>
                <w:color w:val="000000"/>
                <w:sz w:val="21"/>
                <w:szCs w:val="21"/>
              </w:rPr>
              <w:t xml:space="preserve">   </w:t>
            </w:r>
            <w:r>
              <w:rPr>
                <w:rFonts w:hint="eastAsia" w:ascii="Times New Roman" w:hAnsi="Times New Roman" w:eastAsia="宋体"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 xml:space="preserve"> 总量控制建议值          单位: t/ a</w:t>
            </w:r>
          </w:p>
          <w:tbl>
            <w:tblPr>
              <w:tblStyle w:val="17"/>
              <w:tblW w:w="663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2214"/>
              <w:gridCol w:w="221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211" w:type="dxa"/>
                  <w:tcBorders>
                    <w:tl2br w:val="nil"/>
                    <w:tr2bl w:val="nil"/>
                  </w:tcBorders>
                  <w:vAlign w:val="center"/>
                </w:tcPr>
                <w:p>
                  <w:pPr>
                    <w:spacing w:after="0" w:line="360" w:lineRule="exact"/>
                    <w:ind w:left="-101" w:leftChars="-46" w:right="-125" w:rightChars="-57"/>
                    <w:jc w:val="center"/>
                    <w:rPr>
                      <w:rFonts w:ascii="Times New Roman" w:hAnsi="Times New Roman" w:eastAsia="宋体"/>
                      <w:color w:val="000000"/>
                      <w:sz w:val="21"/>
                      <w:szCs w:val="21"/>
                    </w:rPr>
                  </w:pPr>
                  <w:r>
                    <w:rPr>
                      <w:rFonts w:ascii="Times New Roman" w:hAnsi="Times New Roman" w:eastAsia="宋体"/>
                      <w:color w:val="000000"/>
                      <w:sz w:val="21"/>
                      <w:szCs w:val="21"/>
                    </w:rPr>
                    <w:t>序号</w:t>
                  </w:r>
                </w:p>
              </w:tc>
              <w:tc>
                <w:tcPr>
                  <w:tcW w:w="2214" w:type="dxa"/>
                  <w:tcBorders>
                    <w:tl2br w:val="nil"/>
                    <w:tr2bl w:val="nil"/>
                  </w:tcBorders>
                  <w:vAlign w:val="center"/>
                </w:tcPr>
                <w:p>
                  <w:pPr>
                    <w:spacing w:after="0" w:line="360" w:lineRule="exact"/>
                    <w:ind w:left="-119" w:leftChars="-54" w:right="-117" w:rightChars="-53"/>
                    <w:jc w:val="center"/>
                    <w:rPr>
                      <w:rFonts w:ascii="Times New Roman" w:hAnsi="Times New Roman" w:eastAsia="宋体"/>
                      <w:color w:val="000000"/>
                      <w:sz w:val="21"/>
                      <w:szCs w:val="21"/>
                    </w:rPr>
                  </w:pPr>
                  <w:r>
                    <w:rPr>
                      <w:rFonts w:ascii="Times New Roman" w:hAnsi="Times New Roman" w:eastAsia="宋体"/>
                      <w:color w:val="000000"/>
                      <w:sz w:val="21"/>
                      <w:szCs w:val="21"/>
                    </w:rPr>
                    <w:t>污染因子</w:t>
                  </w:r>
                </w:p>
              </w:tc>
              <w:tc>
                <w:tcPr>
                  <w:tcW w:w="2213" w:type="dxa"/>
                  <w:tcBorders>
                    <w:tl2br w:val="nil"/>
                    <w:tr2bl w:val="nil"/>
                  </w:tcBorders>
                  <w:vAlign w:val="center"/>
                </w:tcPr>
                <w:p>
                  <w:pPr>
                    <w:spacing w:after="0" w:line="360" w:lineRule="exact"/>
                    <w:ind w:left="-108" w:leftChars="-49" w:right="-64" w:rightChars="-29" w:firstLine="420" w:firstLineChars="200"/>
                    <w:jc w:val="both"/>
                    <w:rPr>
                      <w:rFonts w:ascii="Times New Roman" w:hAnsi="Times New Roman" w:eastAsia="宋体"/>
                      <w:color w:val="000000"/>
                      <w:sz w:val="21"/>
                      <w:szCs w:val="21"/>
                    </w:rPr>
                  </w:pPr>
                  <w:r>
                    <w:rPr>
                      <w:rFonts w:ascii="Times New Roman" w:hAnsi="Times New Roman" w:eastAsia="宋体"/>
                      <w:color w:val="000000"/>
                      <w:sz w:val="21"/>
                      <w:szCs w:val="21"/>
                    </w:rPr>
                    <w:t>总量建议值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211" w:type="dxa"/>
                  <w:tcBorders>
                    <w:tl2br w:val="nil"/>
                    <w:tr2bl w:val="nil"/>
                  </w:tcBorders>
                  <w:vAlign w:val="center"/>
                </w:tcPr>
                <w:p>
                  <w:pPr>
                    <w:spacing w:after="0" w:line="360" w:lineRule="exact"/>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2214" w:type="dxa"/>
                  <w:tcBorders>
                    <w:tl2br w:val="nil"/>
                    <w:tr2bl w:val="nil"/>
                  </w:tcBorders>
                  <w:vAlign w:val="center"/>
                </w:tcPr>
                <w:p>
                  <w:pPr>
                    <w:spacing w:after="0" w:line="360" w:lineRule="exact"/>
                    <w:ind w:left="-119" w:leftChars="-54" w:right="-117" w:rightChars="-53"/>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颗粒物</w:t>
                  </w:r>
                </w:p>
              </w:tc>
              <w:tc>
                <w:tcPr>
                  <w:tcW w:w="2213" w:type="dxa"/>
                  <w:tcBorders>
                    <w:tl2br w:val="nil"/>
                    <w:tr2bl w:val="nil"/>
                  </w:tcBorders>
                  <w:vAlign w:val="center"/>
                </w:tcPr>
                <w:p>
                  <w:pPr>
                    <w:spacing w:after="0" w:line="360" w:lineRule="exact"/>
                    <w:ind w:firstLine="630" w:firstLineChars="300"/>
                    <w:jc w:val="both"/>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0.091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211" w:type="dxa"/>
                  <w:tcBorders>
                    <w:tl2br w:val="nil"/>
                    <w:tr2bl w:val="nil"/>
                  </w:tcBorders>
                  <w:vAlign w:val="center"/>
                </w:tcPr>
                <w:p>
                  <w:pPr>
                    <w:spacing w:after="0" w:line="360" w:lineRule="exact"/>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w:t>
                  </w:r>
                </w:p>
              </w:tc>
              <w:tc>
                <w:tcPr>
                  <w:tcW w:w="2214" w:type="dxa"/>
                  <w:tcBorders>
                    <w:tl2br w:val="nil"/>
                    <w:tr2bl w:val="nil"/>
                  </w:tcBorders>
                  <w:vAlign w:val="center"/>
                </w:tcPr>
                <w:p>
                  <w:pPr>
                    <w:spacing w:after="0" w:line="360" w:lineRule="exact"/>
                    <w:ind w:left="-119" w:leftChars="-54" w:right="-117" w:rightChars="-53"/>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SO</w:t>
                  </w:r>
                  <w:r>
                    <w:rPr>
                      <w:rFonts w:hint="eastAsia" w:ascii="Times New Roman" w:hAnsi="Times New Roman" w:eastAsia="宋体"/>
                      <w:color w:val="000000"/>
                      <w:sz w:val="21"/>
                      <w:szCs w:val="21"/>
                      <w:vertAlign w:val="subscript"/>
                      <w:lang w:val="en-US" w:eastAsia="zh-CN"/>
                    </w:rPr>
                    <w:t>2</w:t>
                  </w:r>
                </w:p>
              </w:tc>
              <w:tc>
                <w:tcPr>
                  <w:tcW w:w="2213" w:type="dxa"/>
                  <w:tcBorders>
                    <w:tl2br w:val="nil"/>
                    <w:tr2bl w:val="nil"/>
                  </w:tcBorders>
                  <w:vAlign w:val="center"/>
                </w:tcPr>
                <w:p>
                  <w:pPr>
                    <w:spacing w:after="0" w:line="360" w:lineRule="exact"/>
                    <w:ind w:firstLine="630" w:firstLineChars="300"/>
                    <w:jc w:val="both"/>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0.452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2211" w:type="dxa"/>
                  <w:tcBorders>
                    <w:tl2br w:val="nil"/>
                    <w:tr2bl w:val="nil"/>
                  </w:tcBorders>
                  <w:vAlign w:val="center"/>
                </w:tcPr>
                <w:p>
                  <w:pPr>
                    <w:spacing w:after="0" w:line="360" w:lineRule="exact"/>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w:t>
                  </w:r>
                </w:p>
              </w:tc>
              <w:tc>
                <w:tcPr>
                  <w:tcW w:w="2214" w:type="dxa"/>
                  <w:tcBorders>
                    <w:tl2br w:val="nil"/>
                    <w:tr2bl w:val="nil"/>
                  </w:tcBorders>
                  <w:vAlign w:val="center"/>
                </w:tcPr>
                <w:p>
                  <w:pPr>
                    <w:spacing w:after="0" w:line="360" w:lineRule="exact"/>
                    <w:ind w:left="-119" w:leftChars="-54" w:right="-117" w:rightChars="-53"/>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NO</w:t>
                  </w:r>
                  <w:r>
                    <w:rPr>
                      <w:rFonts w:hint="eastAsia" w:ascii="Times New Roman" w:hAnsi="Times New Roman" w:eastAsia="宋体"/>
                      <w:color w:val="000000"/>
                      <w:sz w:val="21"/>
                      <w:szCs w:val="21"/>
                      <w:vertAlign w:val="subscript"/>
                      <w:lang w:val="en-US" w:eastAsia="zh-CN"/>
                    </w:rPr>
                    <w:t>x</w:t>
                  </w:r>
                </w:p>
              </w:tc>
              <w:tc>
                <w:tcPr>
                  <w:tcW w:w="2213" w:type="dxa"/>
                  <w:tcBorders>
                    <w:tl2br w:val="nil"/>
                    <w:tr2bl w:val="nil"/>
                  </w:tcBorders>
                  <w:vAlign w:val="center"/>
                </w:tcPr>
                <w:p>
                  <w:pPr>
                    <w:spacing w:after="0" w:line="360" w:lineRule="exact"/>
                    <w:ind w:firstLine="630" w:firstLineChars="300"/>
                    <w:jc w:val="both"/>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5.269</w:t>
                  </w:r>
                </w:p>
              </w:tc>
            </w:tr>
          </w:tbl>
          <w:p>
            <w:pPr>
              <w:spacing w:after="0" w:line="360" w:lineRule="auto"/>
              <w:rPr>
                <w:rFonts w:ascii="Times New Roman" w:hAnsi="Times New Roman" w:eastAsia="宋体"/>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6" w:hRule="atLeast"/>
          <w:jc w:val="center"/>
        </w:trPr>
        <w:tc>
          <w:tcPr>
            <w:tcW w:w="5000" w:type="pct"/>
            <w:gridSpan w:val="7"/>
            <w:vAlign w:val="top"/>
          </w:tcPr>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b/>
                <w:bCs/>
                <w:sz w:val="24"/>
                <w:szCs w:val="24"/>
                <w:lang w:val="en-US" w:eastAsia="zh-CN"/>
              </w:rPr>
            </w:pPr>
            <w:r>
              <w:rPr>
                <w:rFonts w:hint="eastAsia" w:ascii="Times New Roman" w:hAnsi="Times New Roman" w:eastAsia="宋体"/>
                <w:b/>
                <w:bCs/>
                <w:sz w:val="24"/>
                <w:szCs w:val="24"/>
                <w:lang w:val="en-US" w:eastAsia="zh-CN"/>
              </w:rPr>
              <w:t>一、项目简介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随着经济的发展，公共建筑装饰、家庭装饰对天然石材的消耗量逐年增加，优质石材已经走入千家万户，广泛应用于地面铺装、橱柜和家具的台面装饰。同时随着城镇化的推进，对天然石材的需求将进一步扩大，因此建筑用石材具有良好的市场前景。宁国市刘宏甫石材加工厂位于宁国市汪溪园区</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租用宁国众益新型城镇化公司厂房18间，总建筑面积2600平方米公司，购置原石切割机、成品切机，磨光机，火烧机，破碎机，小型切割机，小型磨机</w:t>
            </w:r>
            <w:r>
              <w:rPr>
                <w:rFonts w:hint="eastAsia" w:ascii="Times New Roman" w:hAnsi="Times New Roman" w:eastAsia="宋体" w:cs="Times New Roman"/>
                <w:color w:val="auto"/>
                <w:sz w:val="24"/>
                <w:szCs w:val="24"/>
                <w:lang w:val="en-US" w:eastAsia="zh-CN"/>
              </w:rPr>
              <w:t>等设备，加工石材</w:t>
            </w:r>
            <w:r>
              <w:rPr>
                <w:rFonts w:hint="default" w:ascii="Times New Roman" w:hAnsi="Times New Roman" w:eastAsia="宋体" w:cs="Times New Roman"/>
                <w:color w:val="auto"/>
                <w:sz w:val="24"/>
                <w:szCs w:val="24"/>
                <w:lang w:val="en-US" w:eastAsia="zh-CN"/>
              </w:rPr>
              <w:t>。该项目经宁国经济开发区管理委员会以宁开发项[2019]56号予以备案。</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sz w:val="24"/>
                <w:szCs w:val="22"/>
                <w:lang w:eastAsia="zh-CN"/>
              </w:rPr>
            </w:pPr>
            <w:r>
              <w:rPr>
                <w:rFonts w:hint="default" w:ascii="Times New Roman" w:hAnsi="Times New Roman" w:eastAsia="宋体" w:cs="Times New Roman"/>
                <w:sz w:val="24"/>
                <w:szCs w:val="24"/>
                <w:lang w:val="en-US" w:eastAsia="zh-CN"/>
              </w:rPr>
              <w:t>本项目于2021年</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月初开始建设，</w:t>
            </w:r>
            <w:r>
              <w:rPr>
                <w:rFonts w:hint="default" w:ascii="Times New Roman" w:hAnsi="Times New Roman" w:eastAsia="宋体" w:cs="Times New Roman"/>
                <w:b w:val="0"/>
                <w:bCs w:val="0"/>
                <w:color w:val="auto"/>
                <w:sz w:val="24"/>
                <w:szCs w:val="22"/>
                <w:lang w:val="en-US" w:eastAsia="zh-CN"/>
              </w:rPr>
              <w:t>2021年</w:t>
            </w:r>
            <w:r>
              <w:rPr>
                <w:rFonts w:hint="eastAsia" w:ascii="Times New Roman" w:hAnsi="Times New Roman" w:eastAsia="宋体" w:cs="Times New Roman"/>
                <w:b w:val="0"/>
                <w:bCs w:val="0"/>
                <w:color w:val="auto"/>
                <w:sz w:val="24"/>
                <w:szCs w:val="22"/>
                <w:lang w:val="en-US" w:eastAsia="zh-CN"/>
              </w:rPr>
              <w:t>1</w:t>
            </w:r>
            <w:r>
              <w:rPr>
                <w:rFonts w:hint="default" w:ascii="Times New Roman" w:hAnsi="Times New Roman" w:eastAsia="宋体" w:cs="Times New Roman"/>
                <w:b w:val="0"/>
                <w:bCs w:val="0"/>
                <w:color w:val="auto"/>
                <w:sz w:val="24"/>
                <w:szCs w:val="22"/>
                <w:lang w:val="en-US" w:eastAsia="zh-CN"/>
              </w:rPr>
              <w:t>月底</w:t>
            </w:r>
            <w:r>
              <w:rPr>
                <w:rFonts w:hint="eastAsia" w:ascii="Times New Roman" w:hAnsi="Times New Roman" w:eastAsia="宋体" w:cs="Times New Roman"/>
                <w:b w:val="0"/>
                <w:bCs w:val="0"/>
                <w:color w:val="auto"/>
                <w:sz w:val="24"/>
                <w:szCs w:val="22"/>
                <w:lang w:val="en-US" w:eastAsia="zh-CN"/>
              </w:rPr>
              <w:t>主体工程建设完成，设备已</w:t>
            </w:r>
            <w:r>
              <w:rPr>
                <w:rFonts w:hint="eastAsia" w:ascii="Times New Roman" w:hAnsi="Times New Roman" w:eastAsia="宋体" w:cs="Times New Roman"/>
                <w:sz w:val="24"/>
                <w:szCs w:val="24"/>
                <w:lang w:val="en-US" w:eastAsia="zh-CN"/>
              </w:rPr>
              <w:t>安装7台，可年产6000吨石材，本次验收为阶段性验收</w:t>
            </w:r>
            <w:r>
              <w:rPr>
                <w:rFonts w:hint="default" w:ascii="Times New Roman" w:hAnsi="Times New Roman" w:eastAsia="宋体" w:cs="Times New Roman"/>
                <w:b w:val="0"/>
                <w:bCs w:val="0"/>
                <w:color w:val="auto"/>
                <w:sz w:val="24"/>
                <w:szCs w:val="22"/>
                <w:lang w:val="en-US" w:eastAsia="zh-CN"/>
              </w:rPr>
              <w:t>。</w:t>
            </w:r>
            <w:r>
              <w:rPr>
                <w:rFonts w:hint="default" w:ascii="Times New Roman" w:hAnsi="Times New Roman" w:eastAsia="宋体" w:cs="Times New Roman"/>
                <w:b w:val="0"/>
                <w:bCs w:val="0"/>
                <w:color w:val="auto"/>
                <w:sz w:val="24"/>
                <w:szCs w:val="22"/>
                <w:lang w:eastAsia="zh-CN"/>
              </w:rPr>
              <w:t>依据建设项目竣工环境保护验收暂行办法第四条，</w:t>
            </w:r>
            <w:r>
              <w:rPr>
                <w:rFonts w:hint="eastAsia" w:ascii="Times New Roman" w:hAnsi="Times New Roman" w:eastAsia="宋体" w:cs="Times New Roman"/>
                <w:b w:val="0"/>
                <w:bCs w:val="0"/>
                <w:color w:val="auto"/>
                <w:sz w:val="24"/>
                <w:szCs w:val="22"/>
                <w:lang w:eastAsia="zh-CN"/>
              </w:rPr>
              <w:t>“</w:t>
            </w:r>
            <w:r>
              <w:rPr>
                <w:rFonts w:hint="default" w:ascii="Times New Roman" w:hAnsi="Times New Roman" w:eastAsia="宋体" w:cs="Times New Roman"/>
                <w:b w:val="0"/>
                <w:bCs w:val="0"/>
                <w:color w:val="auto"/>
                <w:sz w:val="24"/>
                <w:szCs w:val="22"/>
                <w:lang w:eastAsia="zh-CN"/>
              </w:rPr>
              <w:t>建设单位是建设项目竣工环境保护</w:t>
            </w:r>
            <w:r>
              <w:rPr>
                <w:rFonts w:hint="default" w:ascii="Times New Roman" w:hAnsi="Times New Roman" w:eastAsia="宋体" w:cs="Times New Roman"/>
                <w:b w:val="0"/>
                <w:bCs w:val="0"/>
                <w:color w:val="000000"/>
                <w:sz w:val="24"/>
                <w:szCs w:val="22"/>
                <w:lang w:eastAsia="zh-CN"/>
              </w:rPr>
              <w:t>验收的责任</w:t>
            </w:r>
            <w:r>
              <w:rPr>
                <w:rFonts w:hint="eastAsia" w:ascii="Times New Roman" w:hAnsi="Times New Roman" w:eastAsia="宋体" w:cs="Times New Roman"/>
                <w:b w:val="0"/>
                <w:bCs w:val="0"/>
                <w:color w:val="000000"/>
                <w:sz w:val="24"/>
                <w:szCs w:val="22"/>
                <w:lang w:val="en-US" w:eastAsia="zh-CN"/>
              </w:rPr>
              <w:t>主</w:t>
            </w:r>
            <w:r>
              <w:rPr>
                <w:rFonts w:hint="default" w:ascii="Times New Roman" w:hAnsi="Times New Roman" w:eastAsia="宋体" w:cs="Times New Roman"/>
                <w:b w:val="0"/>
                <w:bCs w:val="0"/>
                <w:color w:val="000000"/>
                <w:sz w:val="24"/>
                <w:szCs w:val="22"/>
                <w:lang w:eastAsia="zh-CN"/>
              </w:rPr>
              <w:t>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w:t>
            </w:r>
            <w:r>
              <w:rPr>
                <w:rFonts w:hint="eastAsia" w:ascii="Times New Roman" w:hAnsi="Times New Roman" w:eastAsia="宋体" w:cs="Times New Roman"/>
                <w:b w:val="0"/>
                <w:bCs w:val="0"/>
                <w:color w:val="000000"/>
                <w:sz w:val="24"/>
                <w:szCs w:val="22"/>
                <w:lang w:eastAsia="zh-CN"/>
              </w:rPr>
              <w:t>”</w:t>
            </w:r>
            <w:r>
              <w:rPr>
                <w:rFonts w:hint="default" w:ascii="Times New Roman" w:hAnsi="Times New Roman" w:eastAsia="宋体" w:cs="Times New Roman"/>
                <w:b w:val="0"/>
                <w:bCs w:val="0"/>
                <w:color w:val="000000"/>
                <w:sz w:val="24"/>
                <w:szCs w:val="22"/>
                <w:lang w:eastAsia="zh-CN"/>
              </w:rPr>
              <w:t>的规定</w:t>
            </w:r>
            <w:r>
              <w:rPr>
                <w:rFonts w:hint="eastAsia" w:ascii="Times New Roman" w:hAnsi="Times New Roman" w:eastAsia="宋体" w:cs="Times New Roman"/>
                <w:b w:val="0"/>
                <w:bCs w:val="0"/>
                <w:color w:val="000000"/>
                <w:sz w:val="24"/>
                <w:szCs w:val="22"/>
                <w:lang w:eastAsia="zh-CN"/>
              </w:rPr>
              <w:t>，</w:t>
            </w:r>
            <w:r>
              <w:rPr>
                <w:rFonts w:hint="eastAsia" w:ascii="Times New Roman" w:hAnsi="Times New Roman" w:eastAsia="宋体" w:cs="Times New Roman"/>
                <w:b w:val="0"/>
                <w:bCs w:val="0"/>
                <w:color w:val="000000"/>
                <w:sz w:val="24"/>
                <w:szCs w:val="22"/>
                <w:lang w:val="en-US" w:eastAsia="zh-CN"/>
              </w:rPr>
              <w:t>编制阶段性验收报告</w:t>
            </w:r>
            <w:r>
              <w:rPr>
                <w:rFonts w:hint="eastAsia" w:ascii="Times New Roman" w:hAnsi="Times New Roman" w:eastAsia="宋体" w:cs="Times New Roman"/>
                <w:b w:val="0"/>
                <w:bCs w:val="0"/>
                <w:color w:val="000000"/>
                <w:sz w:val="24"/>
                <w:szCs w:val="22"/>
                <w:lang w:eastAsia="zh-CN"/>
              </w:rPr>
              <w:t>。</w:t>
            </w:r>
            <w:r>
              <w:rPr>
                <w:rFonts w:hint="default" w:ascii="Times New Roman" w:hAnsi="Times New Roman" w:eastAsia="宋体" w:cs="Times New Roman"/>
                <w:b w:val="0"/>
                <w:bCs w:val="0"/>
                <w:color w:val="000000"/>
                <w:sz w:val="24"/>
                <w:szCs w:val="22"/>
                <w:lang w:eastAsia="zh-CN"/>
              </w:rPr>
              <w:t>202</w:t>
            </w:r>
            <w:r>
              <w:rPr>
                <w:rFonts w:hint="eastAsia" w:ascii="Times New Roman" w:hAnsi="Times New Roman" w:eastAsia="宋体" w:cs="Times New Roman"/>
                <w:b w:val="0"/>
                <w:bCs w:val="0"/>
                <w:color w:val="000000"/>
                <w:sz w:val="24"/>
                <w:szCs w:val="22"/>
                <w:lang w:val="en-US" w:eastAsia="zh-CN"/>
              </w:rPr>
              <w:t>1</w:t>
            </w:r>
            <w:r>
              <w:rPr>
                <w:rFonts w:hint="default" w:ascii="Times New Roman" w:hAnsi="Times New Roman" w:eastAsia="宋体" w:cs="Times New Roman"/>
                <w:b w:val="0"/>
                <w:bCs w:val="0"/>
                <w:color w:val="000000"/>
                <w:sz w:val="24"/>
                <w:szCs w:val="22"/>
                <w:lang w:eastAsia="zh-CN"/>
              </w:rPr>
              <w:t>年</w:t>
            </w:r>
            <w:r>
              <w:rPr>
                <w:rFonts w:hint="eastAsia" w:ascii="Times New Roman" w:hAnsi="Times New Roman" w:eastAsia="宋体" w:cs="Times New Roman"/>
                <w:b w:val="0"/>
                <w:bCs w:val="0"/>
                <w:color w:val="000000"/>
                <w:sz w:val="24"/>
                <w:szCs w:val="22"/>
                <w:lang w:val="en-US" w:eastAsia="zh-CN"/>
              </w:rPr>
              <w:t>12</w:t>
            </w:r>
            <w:r>
              <w:rPr>
                <w:rFonts w:hint="default" w:ascii="Times New Roman" w:hAnsi="Times New Roman" w:eastAsia="宋体" w:cs="Times New Roman"/>
                <w:b w:val="0"/>
                <w:bCs w:val="0"/>
                <w:color w:val="000000"/>
                <w:sz w:val="24"/>
                <w:szCs w:val="22"/>
                <w:lang w:eastAsia="zh-CN"/>
              </w:rPr>
              <w:t>月</w:t>
            </w:r>
            <w:r>
              <w:rPr>
                <w:rFonts w:hint="eastAsia" w:ascii="Times New Roman" w:hAnsi="Times New Roman" w:eastAsia="宋体" w:cs="Times New Roman"/>
                <w:color w:val="auto"/>
                <w:sz w:val="24"/>
                <w:szCs w:val="24"/>
                <w:lang w:val="en-US" w:eastAsia="zh-CN"/>
              </w:rPr>
              <w:t>宁国市刘宏甫石材加工厂</w:t>
            </w:r>
            <w:r>
              <w:rPr>
                <w:rFonts w:hint="default" w:ascii="Times New Roman" w:hAnsi="Times New Roman" w:eastAsia="宋体" w:cs="Times New Roman"/>
                <w:b w:val="0"/>
                <w:bCs w:val="0"/>
                <w:color w:val="000000"/>
                <w:sz w:val="24"/>
                <w:szCs w:val="22"/>
                <w:lang w:eastAsia="zh-CN"/>
              </w:rPr>
              <w:t>成立了验收小组，并委托宁国市浚成环境检测有限公司组织</w:t>
            </w:r>
            <w:r>
              <w:rPr>
                <w:rFonts w:hint="eastAsia" w:ascii="Times New Roman" w:hAnsi="Times New Roman" w:eastAsia="宋体" w:cs="Times New Roman"/>
                <w:color w:val="auto"/>
                <w:sz w:val="24"/>
                <w:szCs w:val="24"/>
                <w:lang w:val="en-US" w:eastAsia="zh-CN"/>
              </w:rPr>
              <w:t>宁国市刘宏甫石材加工厂石材加工项目</w:t>
            </w:r>
            <w:r>
              <w:rPr>
                <w:rFonts w:hint="default" w:ascii="Times New Roman" w:hAnsi="Times New Roman" w:eastAsia="宋体" w:cs="Times New Roman"/>
                <w:b w:val="0"/>
                <w:bCs w:val="0"/>
                <w:color w:val="000000"/>
                <w:sz w:val="24"/>
                <w:szCs w:val="22"/>
                <w:lang w:eastAsia="zh-CN"/>
              </w:rPr>
              <w:t>竣工环保</w:t>
            </w:r>
            <w:r>
              <w:rPr>
                <w:rFonts w:hint="eastAsia" w:ascii="Times New Roman" w:hAnsi="Times New Roman" w:eastAsia="宋体" w:cs="Times New Roman"/>
                <w:b w:val="0"/>
                <w:bCs w:val="0"/>
                <w:color w:val="000000"/>
                <w:sz w:val="24"/>
                <w:szCs w:val="22"/>
                <w:lang w:eastAsia="zh-CN"/>
              </w:rPr>
              <w:t>阶段性</w:t>
            </w:r>
            <w:r>
              <w:rPr>
                <w:rFonts w:hint="default" w:ascii="Times New Roman" w:hAnsi="Times New Roman" w:eastAsia="宋体" w:cs="Times New Roman"/>
                <w:b w:val="0"/>
                <w:bCs w:val="0"/>
                <w:color w:val="000000"/>
                <w:sz w:val="24"/>
                <w:szCs w:val="22"/>
                <w:lang w:eastAsia="zh-CN"/>
              </w:rPr>
              <w:t>验</w:t>
            </w:r>
            <w:r>
              <w:rPr>
                <w:rFonts w:hint="default" w:ascii="Times New Roman" w:hAnsi="Times New Roman" w:eastAsia="宋体" w:cs="Times New Roman"/>
                <w:b w:val="0"/>
                <w:bCs w:val="0"/>
                <w:color w:val="auto"/>
                <w:sz w:val="24"/>
                <w:szCs w:val="22"/>
                <w:lang w:eastAsia="zh-CN"/>
              </w:rPr>
              <w:t>收。202</w:t>
            </w:r>
            <w:r>
              <w:rPr>
                <w:rFonts w:hint="default" w:ascii="Times New Roman" w:hAnsi="Times New Roman" w:eastAsia="宋体" w:cs="Times New Roman"/>
                <w:b w:val="0"/>
                <w:bCs w:val="0"/>
                <w:color w:val="auto"/>
                <w:sz w:val="24"/>
                <w:szCs w:val="22"/>
                <w:lang w:val="en-US" w:eastAsia="zh-CN"/>
              </w:rPr>
              <w:t>1</w:t>
            </w:r>
            <w:r>
              <w:rPr>
                <w:rFonts w:hint="default" w:ascii="Times New Roman" w:hAnsi="Times New Roman" w:eastAsia="宋体" w:cs="Times New Roman"/>
                <w:b w:val="0"/>
                <w:bCs w:val="0"/>
                <w:color w:val="auto"/>
                <w:sz w:val="24"/>
                <w:szCs w:val="22"/>
                <w:lang w:eastAsia="zh-CN"/>
              </w:rPr>
              <w:t>年</w:t>
            </w:r>
            <w:r>
              <w:rPr>
                <w:rFonts w:hint="eastAsia" w:ascii="Times New Roman" w:hAnsi="Times New Roman" w:eastAsia="宋体" w:cs="Times New Roman"/>
                <w:b w:val="0"/>
                <w:bCs w:val="0"/>
                <w:color w:val="auto"/>
                <w:sz w:val="24"/>
                <w:szCs w:val="22"/>
                <w:lang w:val="en-US" w:eastAsia="zh-CN"/>
              </w:rPr>
              <w:t>12</w:t>
            </w:r>
            <w:r>
              <w:rPr>
                <w:rFonts w:hint="default" w:ascii="Times New Roman" w:hAnsi="Times New Roman" w:eastAsia="宋体" w:cs="Times New Roman"/>
                <w:b w:val="0"/>
                <w:bCs w:val="0"/>
                <w:color w:val="auto"/>
                <w:sz w:val="24"/>
                <w:szCs w:val="22"/>
                <w:lang w:eastAsia="zh-CN"/>
              </w:rPr>
              <w:t>月</w:t>
            </w:r>
            <w:r>
              <w:rPr>
                <w:rFonts w:hint="eastAsia" w:ascii="Times New Roman" w:hAnsi="Times New Roman" w:eastAsia="宋体" w:cs="Times New Roman"/>
                <w:b w:val="0"/>
                <w:bCs w:val="0"/>
                <w:color w:val="auto"/>
                <w:sz w:val="24"/>
                <w:szCs w:val="22"/>
                <w:lang w:val="en-US" w:eastAsia="zh-CN"/>
              </w:rPr>
              <w:t>28~29</w:t>
            </w:r>
            <w:r>
              <w:rPr>
                <w:rFonts w:hint="default" w:ascii="Times New Roman" w:hAnsi="Times New Roman" w:eastAsia="宋体" w:cs="Times New Roman"/>
                <w:b w:val="0"/>
                <w:bCs w:val="0"/>
                <w:color w:val="auto"/>
                <w:sz w:val="24"/>
                <w:szCs w:val="22"/>
                <w:lang w:eastAsia="zh-CN"/>
              </w:rPr>
              <w:t>日，宁国市浚成环境检测有限公司对该项目开展现场检测工作，</w:t>
            </w:r>
            <w:r>
              <w:rPr>
                <w:rFonts w:hint="eastAsia" w:ascii="Times New Roman" w:hAnsi="Times New Roman" w:eastAsia="宋体" w:cs="Times New Roman"/>
                <w:b w:val="0"/>
                <w:bCs w:val="0"/>
                <w:color w:val="000000"/>
                <w:sz w:val="24"/>
                <w:szCs w:val="22"/>
                <w:lang w:eastAsia="zh-CN"/>
              </w:rPr>
              <w:t>同时</w:t>
            </w:r>
            <w:r>
              <w:rPr>
                <w:rFonts w:hint="default" w:ascii="Times New Roman" w:hAnsi="Times New Roman" w:eastAsia="宋体" w:cs="Times New Roman"/>
                <w:b w:val="0"/>
                <w:bCs w:val="0"/>
                <w:color w:val="000000"/>
                <w:sz w:val="24"/>
                <w:szCs w:val="22"/>
                <w:lang w:eastAsia="zh-CN"/>
              </w:rPr>
              <w:t>调查并核实项目环境保护工作落实情况，并编制完成《</w:t>
            </w:r>
            <w:r>
              <w:rPr>
                <w:rFonts w:hint="eastAsia" w:ascii="Times New Roman" w:hAnsi="Times New Roman" w:eastAsia="宋体" w:cs="Times New Roman"/>
                <w:color w:val="auto"/>
                <w:sz w:val="24"/>
                <w:szCs w:val="24"/>
                <w:lang w:val="en-US" w:eastAsia="zh-CN"/>
              </w:rPr>
              <w:t>宁国市刘宏甫石材加工厂石材加工项目</w:t>
            </w:r>
            <w:r>
              <w:rPr>
                <w:rFonts w:hint="default" w:ascii="Times New Roman" w:hAnsi="Times New Roman" w:eastAsia="宋体" w:cs="Times New Roman"/>
                <w:b w:val="0"/>
                <w:bCs w:val="0"/>
                <w:color w:val="000000"/>
                <w:sz w:val="24"/>
                <w:szCs w:val="22"/>
                <w:lang w:eastAsia="zh-CN"/>
              </w:rPr>
              <w:t>竣工环境</w:t>
            </w:r>
            <w:r>
              <w:rPr>
                <w:rFonts w:hint="default" w:ascii="Times New Roman" w:hAnsi="Times New Roman" w:eastAsia="宋体" w:cs="Times New Roman"/>
                <w:b w:val="0"/>
                <w:bCs w:val="0"/>
                <w:color w:val="auto"/>
                <w:sz w:val="24"/>
                <w:szCs w:val="22"/>
                <w:lang w:eastAsia="zh-CN"/>
              </w:rPr>
              <w:t>保护阶段性验收监测报</w:t>
            </w:r>
            <w:r>
              <w:rPr>
                <w:rFonts w:hint="eastAsia" w:ascii="Times New Roman" w:hAnsi="Times New Roman" w:eastAsia="宋体" w:cs="Times New Roman"/>
                <w:b w:val="0"/>
                <w:bCs w:val="0"/>
                <w:color w:val="auto"/>
                <w:sz w:val="24"/>
                <w:szCs w:val="22"/>
                <w:lang w:val="en-US" w:eastAsia="zh-CN"/>
              </w:rPr>
              <w:t>告</w:t>
            </w:r>
            <w:r>
              <w:rPr>
                <w:rFonts w:hint="eastAsia" w:ascii="Times New Roman" w:hAnsi="Times New Roman" w:eastAsia="宋体" w:cs="Times New Roman"/>
                <w:b w:val="0"/>
                <w:bCs w:val="0"/>
                <w:color w:val="auto"/>
                <w:sz w:val="24"/>
                <w:szCs w:val="22"/>
                <w:lang w:eastAsia="zh-CN"/>
              </w:rPr>
              <w:t>表</w:t>
            </w:r>
            <w:r>
              <w:rPr>
                <w:rFonts w:hint="default" w:ascii="Times New Roman" w:hAnsi="Times New Roman" w:eastAsia="宋体" w:cs="Times New Roman"/>
                <w:b w:val="0"/>
                <w:bCs w:val="0"/>
                <w:color w:val="auto"/>
                <w:sz w:val="24"/>
                <w:szCs w:val="22"/>
                <w:lang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b w:val="0"/>
                <w:bCs w:val="0"/>
                <w:color w:val="auto"/>
                <w:sz w:val="24"/>
                <w:szCs w:val="24"/>
                <w:lang w:val="en-US" w:eastAsia="zh-CN"/>
              </w:rPr>
            </w:pPr>
          </w:p>
          <w:p>
            <w:pPr>
              <w:pStyle w:val="2"/>
              <w:rPr>
                <w:rFonts w:hint="eastAsia" w:ascii="Times New Roman" w:hAnsi="Times New Roman" w:eastAsia="宋体"/>
                <w:b w:val="0"/>
                <w:bCs w:val="0"/>
                <w:color w:val="auto"/>
                <w:sz w:val="24"/>
                <w:szCs w:val="24"/>
                <w:lang w:val="en-US" w:eastAsia="zh-CN"/>
              </w:rPr>
            </w:pPr>
          </w:p>
          <w:p>
            <w:pPr>
              <w:rPr>
                <w:rFonts w:hint="eastAsia"/>
                <w:lang w:val="en-US" w:eastAsia="zh-CN"/>
              </w:rPr>
            </w:pPr>
          </w:p>
          <w:p>
            <w:pPr>
              <w:rPr>
                <w:rFonts w:hint="eastAsia" w:ascii="Times New Roman" w:hAnsi="Times New Roman" w:eastAsia="宋体"/>
                <w:b w:val="0"/>
                <w:bCs w:val="0"/>
                <w:color w:val="auto"/>
                <w:sz w:val="24"/>
                <w:szCs w:val="24"/>
                <w:lang w:val="en-US" w:eastAsia="zh-CN"/>
              </w:rPr>
            </w:pPr>
          </w:p>
          <w:p>
            <w:pPr>
              <w:pStyle w:val="2"/>
              <w:rPr>
                <w:rFonts w:hint="eastAsia"/>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b w:val="0"/>
                <w:bCs w:val="0"/>
                <w:color w:val="auto"/>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ascii="Times New Roman" w:hAnsi="Times New Roman" w:eastAsia="宋体"/>
                <w:b w:val="0"/>
                <w:bCs w:val="0"/>
                <w:color w:val="auto"/>
                <w:sz w:val="24"/>
                <w:szCs w:val="24"/>
              </w:rPr>
            </w:pPr>
            <w:r>
              <w:rPr>
                <w:rFonts w:hint="eastAsia" w:ascii="Times New Roman" w:hAnsi="Times New Roman" w:eastAsia="宋体"/>
                <w:b/>
                <w:bCs/>
                <w:color w:val="auto"/>
                <w:sz w:val="24"/>
                <w:szCs w:val="24"/>
                <w:lang w:val="en-US" w:eastAsia="zh-CN"/>
              </w:rPr>
              <w:t>二、</w:t>
            </w:r>
            <w:r>
              <w:rPr>
                <w:rFonts w:ascii="Times New Roman" w:hAnsi="Times New Roman" w:eastAsia="宋体"/>
                <w:b/>
                <w:bCs/>
                <w:color w:val="auto"/>
                <w:sz w:val="24"/>
                <w:szCs w:val="24"/>
              </w:rPr>
              <w:t>工程建设内容：</w:t>
            </w:r>
            <w:r>
              <w:rPr>
                <w:rFonts w:ascii="Times New Roman" w:hAnsi="Times New Roman" w:eastAsia="宋体"/>
                <w:b w:val="0"/>
                <w:bCs w:val="0"/>
                <w:color w:val="auto"/>
                <w:sz w:val="24"/>
                <w:szCs w:val="24"/>
              </w:rPr>
              <w:t xml:space="preserve"> </w:t>
            </w:r>
          </w:p>
          <w:p>
            <w:pPr>
              <w:pStyle w:val="2"/>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本次阶段性验收</w:t>
            </w:r>
            <w:r>
              <w:rPr>
                <w:rFonts w:hint="default" w:ascii="Times New Roman" w:hAnsi="Times New Roman" w:eastAsia="宋体" w:cs="Times New Roman"/>
                <w:color w:val="auto"/>
                <w:sz w:val="24"/>
                <w:szCs w:val="24"/>
              </w:rPr>
              <w:t>项目组成内容见下表</w:t>
            </w:r>
            <w:r>
              <w:rPr>
                <w:rFonts w:hint="default" w:ascii="Times New Roman" w:hAnsi="Times New Roman" w:eastAsia="宋体" w:cs="Times New Roman"/>
                <w:color w:val="auto"/>
                <w:sz w:val="24"/>
                <w:szCs w:val="24"/>
                <w:lang w:eastAsia="zh-CN"/>
              </w:rPr>
              <w:t>：</w:t>
            </w:r>
          </w:p>
          <w:p>
            <w:pPr>
              <w:keepNext w:val="0"/>
              <w:keepLines w:val="0"/>
              <w:widowControl/>
              <w:suppressLineNumbers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 xml:space="preserve">2-1  </w:t>
            </w:r>
            <w:r>
              <w:rPr>
                <w:rFonts w:hint="eastAsia" w:ascii="宋体" w:hAnsi="宋体" w:eastAsia="宋体" w:cs="宋体"/>
                <w:b/>
                <w:bCs/>
                <w:color w:val="000000"/>
                <w:kern w:val="0"/>
                <w:sz w:val="24"/>
                <w:szCs w:val="24"/>
                <w:lang w:val="en-US" w:eastAsia="zh-CN" w:bidi="ar"/>
              </w:rPr>
              <w:t>建设项目</w:t>
            </w:r>
            <w:r>
              <w:rPr>
                <w:rFonts w:hint="default" w:ascii="Times New Roman" w:hAnsi="Times New Roman" w:eastAsia="宋体" w:cs="Times New Roman"/>
                <w:b/>
                <w:bCs/>
                <w:color w:val="auto"/>
                <w:sz w:val="21"/>
                <w:szCs w:val="21"/>
              </w:rPr>
              <w:t>组成内容</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246"/>
              <w:gridCol w:w="2476"/>
              <w:gridCol w:w="2476"/>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8"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类别</w:t>
                  </w:r>
                </w:p>
              </w:tc>
              <w:tc>
                <w:tcPr>
                  <w:tcW w:w="695"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单项工程名称</w:t>
                  </w:r>
                </w:p>
              </w:tc>
              <w:tc>
                <w:tcPr>
                  <w:tcW w:w="138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工程内容及规模</w:t>
                  </w:r>
                </w:p>
              </w:tc>
              <w:tc>
                <w:tcPr>
                  <w:tcW w:w="1381"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实际内容与规模</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主体</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w:t>
                  </w:r>
                </w:p>
              </w:tc>
              <w:tc>
                <w:tcPr>
                  <w:tcW w:w="695" w:type="pct"/>
                  <w:noWrap w:val="0"/>
                  <w:vAlign w:val="center"/>
                </w:tcPr>
                <w:p>
                  <w:pPr>
                    <w:pStyle w:val="24"/>
                    <w:rPr>
                      <w:rFonts w:hint="default" w:ascii="宋体" w:hAnsi="宋体" w:eastAsia="宋体" w:cs="宋体"/>
                      <w:color w:val="auto"/>
                      <w:sz w:val="21"/>
                      <w:szCs w:val="21"/>
                      <w:lang w:val="en-US" w:eastAsia="zh-CN" w:bidi="ar-SA"/>
                    </w:rPr>
                  </w:pPr>
                  <w:r>
                    <w:rPr>
                      <w:rFonts w:hint="eastAsia" w:cs="宋体"/>
                      <w:color w:val="auto"/>
                      <w:sz w:val="21"/>
                      <w:szCs w:val="21"/>
                      <w:lang w:val="en-US" w:eastAsia="zh-CN" w:bidi="ar-SA"/>
                    </w:rPr>
                    <w:t>1#车间</w:t>
                  </w:r>
                </w:p>
              </w:tc>
              <w:tc>
                <w:tcPr>
                  <w:tcW w:w="1381" w:type="pct"/>
                  <w:noWrap w:val="0"/>
                  <w:vAlign w:val="center"/>
                </w:tcPr>
                <w:p>
                  <w:pPr>
                    <w:pStyle w:val="24"/>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共5间，建筑面积约700㎡，设置切石机3台</w:t>
                  </w:r>
                </w:p>
              </w:tc>
              <w:tc>
                <w:tcPr>
                  <w:tcW w:w="1381" w:type="pct"/>
                  <w:noWrap w:val="0"/>
                  <w:vAlign w:val="center"/>
                </w:tcPr>
                <w:p>
                  <w:pPr>
                    <w:pStyle w:val="24"/>
                    <w:jc w:val="center"/>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利用其中两间作为成品库及危废库，其中成品仓库260m</w:t>
                  </w:r>
                  <w:r>
                    <w:rPr>
                      <w:rFonts w:hint="eastAsia" w:cs="宋体"/>
                      <w:color w:val="000000" w:themeColor="text1"/>
                      <w:sz w:val="21"/>
                      <w:szCs w:val="21"/>
                      <w:vertAlign w:val="superscript"/>
                      <w:lang w:val="en-US" w:eastAsia="zh-CN" w:bidi="ar-SA"/>
                      <w14:textFill>
                        <w14:solidFill>
                          <w14:schemeClr w14:val="tx1"/>
                        </w14:solidFill>
                      </w14:textFill>
                    </w:rPr>
                    <w:t>2</w:t>
                  </w:r>
                  <w:r>
                    <w:rPr>
                      <w:rFonts w:hint="eastAsia" w:cs="宋体"/>
                      <w:color w:val="000000" w:themeColor="text1"/>
                      <w:sz w:val="21"/>
                      <w:szCs w:val="21"/>
                      <w:lang w:val="en-US" w:eastAsia="zh-CN" w:bidi="ar-SA"/>
                      <w14:textFill>
                        <w14:solidFill>
                          <w14:schemeClr w14:val="tx1"/>
                        </w14:solidFill>
                      </w14:textFill>
                    </w:rPr>
                    <w:t>，危废库20m</w:t>
                  </w:r>
                  <w:r>
                    <w:rPr>
                      <w:rFonts w:hint="eastAsia" w:cs="宋体"/>
                      <w:color w:val="000000" w:themeColor="text1"/>
                      <w:sz w:val="21"/>
                      <w:szCs w:val="21"/>
                      <w:vertAlign w:val="superscript"/>
                      <w:lang w:val="en-US" w:eastAsia="zh-CN" w:bidi="ar-SA"/>
                      <w14:textFill>
                        <w14:solidFill>
                          <w14:schemeClr w14:val="tx1"/>
                        </w14:solidFill>
                      </w14:textFill>
                    </w:rPr>
                    <w:t>2</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本次验收为阶段性验收，只建设完成2间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98" w:type="pct"/>
                  <w:vMerge w:val="continue"/>
                  <w:noWrap w:val="0"/>
                  <w:vAlign w:val="center"/>
                </w:tcPr>
                <w:p>
                  <w:pPr>
                    <w:pStyle w:val="24"/>
                  </w:pPr>
                </w:p>
              </w:tc>
              <w:tc>
                <w:tcPr>
                  <w:tcW w:w="695" w:type="pct"/>
                  <w:noWrap w:val="0"/>
                  <w:vAlign w:val="center"/>
                </w:tcPr>
                <w:p>
                  <w:pPr>
                    <w:pStyle w:val="24"/>
                    <w:rPr>
                      <w:rFonts w:hint="eastAsia" w:ascii="宋体" w:hAnsi="宋体" w:eastAsia="宋体" w:cs="宋体"/>
                      <w:color w:val="auto"/>
                      <w:sz w:val="21"/>
                      <w:szCs w:val="21"/>
                      <w:lang w:val="en-US" w:eastAsia="zh-CN" w:bidi="ar-SA"/>
                    </w:rPr>
                  </w:pPr>
                  <w:r>
                    <w:rPr>
                      <w:rFonts w:hint="eastAsia" w:cs="宋体"/>
                      <w:color w:val="auto"/>
                      <w:sz w:val="21"/>
                      <w:szCs w:val="21"/>
                      <w:lang w:val="en-US" w:eastAsia="zh-CN" w:bidi="ar-SA"/>
                    </w:rPr>
                    <w:t>2#车间</w:t>
                  </w:r>
                </w:p>
              </w:tc>
              <w:tc>
                <w:tcPr>
                  <w:tcW w:w="1381" w:type="pct"/>
                  <w:noWrap w:val="0"/>
                  <w:vAlign w:val="center"/>
                </w:tcPr>
                <w:p>
                  <w:pPr>
                    <w:pStyle w:val="24"/>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共11间，建筑面积约1600㎡，设置切石机两台，磨光机1台，火烧机2台</w:t>
                  </w:r>
                </w:p>
              </w:tc>
              <w:tc>
                <w:tcPr>
                  <w:tcW w:w="1381" w:type="pct"/>
                  <w:noWrap w:val="0"/>
                  <w:vAlign w:val="center"/>
                </w:tcPr>
                <w:p>
                  <w:pPr>
                    <w:pStyle w:val="24"/>
                    <w:rPr>
                      <w:rFonts w:hint="default" w:ascii="宋体" w:hAnsi="宋体" w:eastAsia="宋体" w:cs="宋体"/>
                      <w:color w:val="000000" w:themeColor="text1"/>
                      <w:sz w:val="21"/>
                      <w:szCs w:val="21"/>
                      <w:lang w:val="en-US" w:eastAsia="zh-CN" w:bidi="ar-SA"/>
                      <w14:textFill>
                        <w14:solidFill>
                          <w14:schemeClr w14:val="tx1"/>
                        </w14:solidFill>
                      </w14:textFill>
                    </w:rPr>
                  </w:pPr>
                  <w:r>
                    <w:rPr>
                      <w:rFonts w:hint="eastAsia" w:cs="宋体"/>
                      <w:color w:val="000000" w:themeColor="text1"/>
                      <w:sz w:val="21"/>
                      <w:szCs w:val="21"/>
                      <w:lang w:val="en-US" w:eastAsia="zh-CN" w:bidi="ar-SA"/>
                      <w14:textFill>
                        <w14:solidFill>
                          <w14:schemeClr w14:val="tx1"/>
                        </w14:solidFill>
                      </w14:textFill>
                    </w:rPr>
                    <w:t>车间更名为4#车间，利用其中4间，建筑面积600</w:t>
                  </w:r>
                  <w:r>
                    <w:rPr>
                      <w:rFonts w:hint="eastAsia" w:ascii="Times New Roman" w:hAnsi="Times New Roman" w:cs="Times New Roman"/>
                      <w:color w:val="000000" w:themeColor="text1"/>
                      <w:sz w:val="21"/>
                      <w:szCs w:val="21"/>
                      <w:lang w:val="en-US" w:eastAsia="zh-CN"/>
                      <w14:textFill>
                        <w14:solidFill>
                          <w14:schemeClr w14:val="tx1"/>
                        </w14:solidFill>
                      </w14:textFill>
                    </w:rPr>
                    <w:t>㎡，磨光机1台，火烧机1台</w:t>
                  </w:r>
                </w:p>
              </w:tc>
              <w:tc>
                <w:tcPr>
                  <w:tcW w:w="843" w:type="pct"/>
                  <w:noWrap w:val="0"/>
                  <w:vAlign w:val="center"/>
                </w:tcPr>
                <w:p>
                  <w:pPr>
                    <w:pStyle w:val="24"/>
                    <w:rPr>
                      <w:rFonts w:hint="default" w:ascii="宋体" w:hAnsi="宋体" w:eastAsia="宋体" w:cs="宋体"/>
                      <w:color w:val="auto"/>
                      <w:sz w:val="21"/>
                      <w:szCs w:val="21"/>
                      <w:lang w:val="en-US" w:eastAsia="zh-CN" w:bidi="ar-SA"/>
                    </w:rPr>
                  </w:pPr>
                  <w:r>
                    <w:rPr>
                      <w:rFonts w:hint="eastAsia" w:cs="宋体"/>
                      <w:color w:val="auto"/>
                      <w:sz w:val="21"/>
                      <w:szCs w:val="21"/>
                      <w:lang w:val="en-US" w:eastAsia="zh-CN" w:bidi="ar-SA"/>
                    </w:rPr>
                    <w:t>车间更改名字；本次为阶段性验收，部分设备为上全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98" w:type="pct"/>
                  <w:vMerge w:val="continue"/>
                  <w:noWrap w:val="0"/>
                  <w:vAlign w:val="center"/>
                </w:tcPr>
                <w:p>
                  <w:pPr>
                    <w:pStyle w:val="24"/>
                    <w:rPr>
                      <w:rFonts w:hint="eastAsia" w:ascii="宋体" w:hAnsi="宋体" w:eastAsia="宋体" w:cs="宋体"/>
                      <w:color w:val="auto"/>
                      <w:sz w:val="21"/>
                      <w:szCs w:val="21"/>
                      <w:lang w:val="en-US" w:eastAsia="zh-CN" w:bidi="ar-SA"/>
                    </w:rPr>
                  </w:pPr>
                </w:p>
              </w:tc>
              <w:tc>
                <w:tcPr>
                  <w:tcW w:w="695" w:type="pct"/>
                  <w:noWrap w:val="0"/>
                  <w:vAlign w:val="center"/>
                </w:tcPr>
                <w:p>
                  <w:pPr>
                    <w:pStyle w:val="24"/>
                    <w:rPr>
                      <w:rFonts w:hint="eastAsia" w:ascii="宋体" w:hAnsi="宋体" w:eastAsia="宋体" w:cs="宋体"/>
                      <w:color w:val="auto"/>
                      <w:sz w:val="21"/>
                      <w:szCs w:val="21"/>
                      <w:lang w:val="en-US" w:eastAsia="zh-CN" w:bidi="ar-SA"/>
                    </w:rPr>
                  </w:pPr>
                  <w:r>
                    <w:rPr>
                      <w:rFonts w:hint="eastAsia" w:cs="宋体"/>
                      <w:color w:val="auto"/>
                      <w:sz w:val="21"/>
                      <w:szCs w:val="21"/>
                      <w:lang w:val="en-US" w:eastAsia="zh-CN" w:bidi="ar-SA"/>
                    </w:rPr>
                    <w:t>3#车间</w:t>
                  </w:r>
                </w:p>
              </w:tc>
              <w:tc>
                <w:tcPr>
                  <w:tcW w:w="1381" w:type="pct"/>
                  <w:noWrap w:val="0"/>
                  <w:vAlign w:val="center"/>
                </w:tcPr>
                <w:p>
                  <w:pPr>
                    <w:pStyle w:val="24"/>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共2间，建筑面积约300㎡，设置切石机2台</w:t>
                  </w:r>
                </w:p>
              </w:tc>
              <w:tc>
                <w:tcPr>
                  <w:tcW w:w="1381" w:type="pct"/>
                  <w:noWrap w:val="0"/>
                  <w:vAlign w:val="center"/>
                </w:tcPr>
                <w:p>
                  <w:pPr>
                    <w:pStyle w:val="24"/>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共2间，建筑面积约300㎡，设置切石机3台</w:t>
                  </w:r>
                </w:p>
              </w:tc>
              <w:tc>
                <w:tcPr>
                  <w:tcW w:w="843" w:type="pct"/>
                  <w:noWrap w:val="0"/>
                  <w:vAlign w:val="center"/>
                </w:tcPr>
                <w:p>
                  <w:pPr>
                    <w:pStyle w:val="24"/>
                    <w:rPr>
                      <w:rFonts w:hint="default" w:ascii="宋体" w:hAnsi="宋体" w:eastAsia="宋体" w:cs="宋体"/>
                      <w:color w:val="auto"/>
                      <w:sz w:val="21"/>
                      <w:szCs w:val="21"/>
                      <w:lang w:val="en-US" w:eastAsia="zh-CN" w:bidi="ar-SA"/>
                    </w:rPr>
                  </w:pPr>
                  <w:r>
                    <w:rPr>
                      <w:rFonts w:hint="eastAsia" w:cs="宋体"/>
                      <w:color w:val="auto"/>
                      <w:sz w:val="21"/>
                      <w:szCs w:val="21"/>
                      <w:lang w:val="en-US" w:eastAsia="zh-CN" w:bidi="ar-SA"/>
                    </w:rPr>
                    <w:t>将原1#车间的一台切石机放置于3#车间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辅助</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工程</w:t>
                  </w: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仓库</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分别位于</w:t>
                  </w:r>
                  <w:r>
                    <w:rPr>
                      <w:rFonts w:hint="eastAsia" w:cs="宋体"/>
                      <w:color w:val="auto"/>
                      <w:sz w:val="21"/>
                      <w:szCs w:val="21"/>
                      <w:lang w:val="en-US" w:eastAsia="zh-CN" w:bidi="ar-SA"/>
                    </w:rPr>
                    <w:t>1#</w:t>
                  </w:r>
                  <w:r>
                    <w:rPr>
                      <w:rFonts w:hint="default" w:cs="宋体"/>
                      <w:color w:val="auto"/>
                      <w:sz w:val="21"/>
                      <w:szCs w:val="21"/>
                      <w:lang w:val="en-US" w:eastAsia="zh-CN" w:bidi="ar-SA"/>
                    </w:rPr>
                    <w:t>厂房</w:t>
                  </w:r>
                  <w:r>
                    <w:rPr>
                      <w:rFonts w:hint="eastAsia" w:cs="宋体"/>
                      <w:color w:val="auto"/>
                      <w:sz w:val="21"/>
                      <w:szCs w:val="21"/>
                      <w:lang w:val="en-US" w:eastAsia="zh-CN" w:bidi="ar-SA"/>
                    </w:rPr>
                    <w:t>和2#</w:t>
                  </w:r>
                  <w:r>
                    <w:rPr>
                      <w:rFonts w:hint="default" w:cs="宋体"/>
                      <w:color w:val="auto"/>
                      <w:sz w:val="21"/>
                      <w:szCs w:val="21"/>
                      <w:lang w:val="en-US" w:eastAsia="zh-CN" w:bidi="ar-SA"/>
                    </w:rPr>
                    <w:t>内部，</w:t>
                  </w:r>
                  <w:r>
                    <w:rPr>
                      <w:rFonts w:hint="eastAsia" w:cs="宋体"/>
                      <w:color w:val="auto"/>
                      <w:sz w:val="21"/>
                      <w:szCs w:val="21"/>
                      <w:lang w:val="en-US" w:eastAsia="zh-CN" w:bidi="ar-SA"/>
                    </w:rPr>
                    <w:t>1#厂房仓库建筑面积约为200m</w:t>
                  </w:r>
                  <w:r>
                    <w:rPr>
                      <w:rFonts w:hint="eastAsia" w:cs="宋体"/>
                      <w:color w:val="auto"/>
                      <w:sz w:val="21"/>
                      <w:szCs w:val="21"/>
                      <w:vertAlign w:val="superscript"/>
                      <w:lang w:val="en-US" w:eastAsia="zh-CN" w:bidi="ar-SA"/>
                    </w:rPr>
                    <w:t>2</w:t>
                  </w:r>
                  <w:r>
                    <w:rPr>
                      <w:rFonts w:hint="eastAsia" w:cs="宋体"/>
                      <w:color w:val="auto"/>
                      <w:sz w:val="21"/>
                      <w:szCs w:val="21"/>
                      <w:lang w:val="en-US" w:eastAsia="zh-CN" w:bidi="ar-SA"/>
                    </w:rPr>
                    <w:t>，3#厂房仓库建筑面积约为200㎡，仓库总建筑面</w:t>
                  </w:r>
                  <w:r>
                    <w:rPr>
                      <w:rFonts w:hint="default" w:cs="宋体"/>
                      <w:color w:val="auto"/>
                      <w:sz w:val="21"/>
                      <w:szCs w:val="21"/>
                      <w:lang w:val="en-US" w:eastAsia="zh-CN" w:bidi="ar-SA"/>
                    </w:rPr>
                    <w:t>约</w:t>
                  </w:r>
                  <w:r>
                    <w:rPr>
                      <w:rFonts w:hint="eastAsia" w:cs="宋体"/>
                      <w:color w:val="auto"/>
                      <w:sz w:val="21"/>
                      <w:szCs w:val="21"/>
                      <w:lang w:val="en-US" w:eastAsia="zh-CN" w:bidi="ar-SA"/>
                    </w:rPr>
                    <w:t>400</w:t>
                  </w:r>
                  <w:r>
                    <w:rPr>
                      <w:rFonts w:hint="default" w:cs="宋体"/>
                      <w:color w:val="auto"/>
                      <w:sz w:val="21"/>
                      <w:szCs w:val="21"/>
                      <w:lang w:val="en-US" w:eastAsia="zh-CN" w:bidi="ar-SA"/>
                    </w:rPr>
                    <w:t>㎡。</w:t>
                  </w:r>
                </w:p>
              </w:tc>
              <w:tc>
                <w:tcPr>
                  <w:tcW w:w="1381" w:type="pct"/>
                  <w:noWrap w:val="0"/>
                  <w:vAlign w:val="center"/>
                </w:tcPr>
                <w:p>
                  <w:pPr>
                    <w:pStyle w:val="24"/>
                    <w:rPr>
                      <w:rFonts w:hint="default" w:cs="宋体"/>
                      <w:color w:val="auto"/>
                      <w:sz w:val="21"/>
                      <w:szCs w:val="21"/>
                      <w:lang w:val="en-US" w:eastAsia="zh-CN" w:bidi="ar-SA"/>
                    </w:rPr>
                  </w:pPr>
                  <w:r>
                    <w:rPr>
                      <w:rFonts w:hint="eastAsia" w:cs="宋体"/>
                      <w:color w:val="auto"/>
                      <w:sz w:val="21"/>
                      <w:szCs w:val="21"/>
                      <w:lang w:val="en-US" w:eastAsia="zh-CN" w:bidi="ar-SA"/>
                    </w:rPr>
                    <w:t>仓库位于1#车间，建筑面积为260</w:t>
                  </w:r>
                  <w:r>
                    <w:rPr>
                      <w:rFonts w:hint="eastAsia" w:cs="宋体"/>
                      <w:color w:val="000000" w:themeColor="text1"/>
                      <w:sz w:val="21"/>
                      <w:szCs w:val="21"/>
                      <w:lang w:val="en-US" w:eastAsia="zh-CN" w:bidi="ar-SA"/>
                      <w14:textFill>
                        <w14:solidFill>
                          <w14:schemeClr w14:val="tx1"/>
                        </w14:solidFill>
                      </w14:textFill>
                    </w:rPr>
                    <w:t>m</w:t>
                  </w:r>
                  <w:r>
                    <w:rPr>
                      <w:rFonts w:hint="eastAsia" w:cs="宋体"/>
                      <w:color w:val="000000" w:themeColor="text1"/>
                      <w:sz w:val="21"/>
                      <w:szCs w:val="21"/>
                      <w:vertAlign w:val="superscript"/>
                      <w:lang w:val="en-US" w:eastAsia="zh-CN" w:bidi="ar-SA"/>
                      <w14:textFill>
                        <w14:solidFill>
                          <w14:schemeClr w14:val="tx1"/>
                        </w14:solidFill>
                      </w14:textFill>
                    </w:rPr>
                    <w:t>2</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办公</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项目</w:t>
                  </w:r>
                  <w:r>
                    <w:rPr>
                      <w:rFonts w:hint="eastAsia" w:cs="宋体"/>
                      <w:color w:val="auto"/>
                      <w:sz w:val="21"/>
                      <w:szCs w:val="21"/>
                      <w:lang w:val="en-US" w:eastAsia="zh-CN" w:bidi="ar-SA"/>
                    </w:rPr>
                    <w:t>三栋</w:t>
                  </w:r>
                  <w:r>
                    <w:rPr>
                      <w:rFonts w:hint="default" w:cs="宋体"/>
                      <w:color w:val="auto"/>
                      <w:sz w:val="21"/>
                      <w:szCs w:val="21"/>
                      <w:lang w:val="en-US" w:eastAsia="zh-CN" w:bidi="ar-SA"/>
                    </w:rPr>
                    <w:t>厂房</w:t>
                  </w:r>
                  <w:r>
                    <w:rPr>
                      <w:rFonts w:hint="eastAsia" w:cs="宋体"/>
                      <w:color w:val="auto"/>
                      <w:sz w:val="21"/>
                      <w:szCs w:val="21"/>
                      <w:lang w:val="en-US" w:eastAsia="zh-CN" w:bidi="ar-SA"/>
                    </w:rPr>
                    <w:t>均</w:t>
                  </w:r>
                  <w:r>
                    <w:rPr>
                      <w:rFonts w:hint="default" w:cs="宋体"/>
                      <w:color w:val="auto"/>
                      <w:sz w:val="21"/>
                      <w:szCs w:val="21"/>
                      <w:lang w:val="en-US" w:eastAsia="zh-CN" w:bidi="ar-SA"/>
                    </w:rPr>
                    <w:t>为</w:t>
                  </w:r>
                  <w:r>
                    <w:rPr>
                      <w:rFonts w:hint="eastAsia" w:cs="宋体"/>
                      <w:color w:val="auto"/>
                      <w:sz w:val="21"/>
                      <w:szCs w:val="21"/>
                      <w:lang w:val="en-US" w:eastAsia="zh-CN" w:bidi="ar-SA"/>
                    </w:rPr>
                    <w:t>局部</w:t>
                  </w:r>
                  <w:r>
                    <w:rPr>
                      <w:rFonts w:hint="default" w:cs="宋体"/>
                      <w:color w:val="auto"/>
                      <w:sz w:val="21"/>
                      <w:szCs w:val="21"/>
                      <w:lang w:val="en-US" w:eastAsia="zh-CN" w:bidi="ar-SA"/>
                    </w:rPr>
                    <w:t>2层设计，二楼</w:t>
                  </w:r>
                  <w:r>
                    <w:rPr>
                      <w:rFonts w:hint="eastAsia" w:cs="宋体"/>
                      <w:color w:val="auto"/>
                      <w:sz w:val="21"/>
                      <w:szCs w:val="21"/>
                      <w:lang w:val="en-US" w:eastAsia="zh-CN" w:bidi="ar-SA"/>
                    </w:rPr>
                    <w:t>均</w:t>
                  </w:r>
                  <w:r>
                    <w:rPr>
                      <w:rFonts w:hint="default" w:cs="宋体"/>
                      <w:color w:val="auto"/>
                      <w:sz w:val="21"/>
                      <w:szCs w:val="21"/>
                      <w:lang w:val="en-US" w:eastAsia="zh-CN" w:bidi="ar-SA"/>
                    </w:rPr>
                    <w:t>为办公用房，</w:t>
                  </w:r>
                  <w:r>
                    <w:rPr>
                      <w:rFonts w:hint="eastAsia" w:cs="宋体"/>
                      <w:color w:val="auto"/>
                      <w:sz w:val="21"/>
                      <w:szCs w:val="21"/>
                      <w:lang w:val="en-US" w:eastAsia="zh-CN" w:bidi="ar-SA"/>
                    </w:rPr>
                    <w:t>办公室</w:t>
                  </w:r>
                  <w:r>
                    <w:rPr>
                      <w:rFonts w:hint="default" w:cs="宋体"/>
                      <w:color w:val="auto"/>
                      <w:sz w:val="21"/>
                      <w:szCs w:val="21"/>
                      <w:lang w:val="en-US" w:eastAsia="zh-CN" w:bidi="ar-SA"/>
                    </w:rPr>
                    <w:t>建筑面积约</w:t>
                  </w:r>
                  <w:r>
                    <w:rPr>
                      <w:rFonts w:hint="eastAsia" w:cs="宋体"/>
                      <w:color w:val="auto"/>
                      <w:sz w:val="21"/>
                      <w:szCs w:val="21"/>
                      <w:lang w:val="en-US" w:eastAsia="zh-CN" w:bidi="ar-SA"/>
                    </w:rPr>
                    <w:t>100</w:t>
                  </w:r>
                  <w:r>
                    <w:rPr>
                      <w:rFonts w:hint="default" w:cs="宋体"/>
                      <w:color w:val="auto"/>
                      <w:sz w:val="21"/>
                      <w:szCs w:val="21"/>
                      <w:lang w:val="en-US" w:eastAsia="zh-CN" w:bidi="ar-SA"/>
                    </w:rPr>
                    <w:t>㎡。</w:t>
                  </w:r>
                </w:p>
              </w:tc>
              <w:tc>
                <w:tcPr>
                  <w:tcW w:w="1381" w:type="pct"/>
                  <w:noWrap w:val="0"/>
                  <w:vAlign w:val="center"/>
                </w:tcPr>
                <w:p>
                  <w:pPr>
                    <w:pStyle w:val="24"/>
                    <w:rPr>
                      <w:rFonts w:hint="default" w:cs="宋体"/>
                      <w:color w:val="auto"/>
                      <w:sz w:val="21"/>
                      <w:szCs w:val="21"/>
                      <w:lang w:val="en-US" w:eastAsia="zh-CN" w:bidi="ar-SA"/>
                    </w:rPr>
                  </w:pPr>
                  <w:r>
                    <w:rPr>
                      <w:rFonts w:hint="eastAsia" w:cs="宋体"/>
                      <w:color w:val="auto"/>
                      <w:sz w:val="21"/>
                      <w:szCs w:val="21"/>
                      <w:lang w:val="en-US" w:eastAsia="zh-CN" w:bidi="ar-SA"/>
                    </w:rPr>
                    <w:t>未建设</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公用工程</w:t>
                  </w: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供电</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项目用电接自</w:t>
                  </w:r>
                  <w:r>
                    <w:rPr>
                      <w:rFonts w:hint="eastAsia" w:cs="宋体"/>
                      <w:color w:val="auto"/>
                      <w:sz w:val="21"/>
                      <w:szCs w:val="21"/>
                      <w:lang w:val="en-US" w:eastAsia="zh-CN" w:bidi="ar-SA"/>
                    </w:rPr>
                    <w:t>汪溪园区</w:t>
                  </w:r>
                  <w:r>
                    <w:rPr>
                      <w:rFonts w:hint="default" w:cs="宋体"/>
                      <w:color w:val="auto"/>
                      <w:sz w:val="21"/>
                      <w:szCs w:val="21"/>
                      <w:lang w:val="en-US" w:eastAsia="zh-CN" w:bidi="ar-SA"/>
                    </w:rPr>
                    <w:t>供电线路，</w:t>
                  </w:r>
                  <w:r>
                    <w:rPr>
                      <w:rFonts w:hint="eastAsia" w:cs="宋体"/>
                      <w:color w:val="auto"/>
                      <w:sz w:val="21"/>
                      <w:szCs w:val="21"/>
                      <w:lang w:val="en-US" w:eastAsia="zh-CN" w:bidi="ar-SA"/>
                    </w:rPr>
                    <w:t>依托厂区现有160</w:t>
                  </w:r>
                  <w:r>
                    <w:rPr>
                      <w:rFonts w:hint="default" w:cs="宋体"/>
                      <w:color w:val="auto"/>
                      <w:sz w:val="21"/>
                      <w:szCs w:val="21"/>
                      <w:lang w:val="en-US" w:eastAsia="zh-CN" w:bidi="ar-SA"/>
                    </w:rPr>
                    <w:t>KVA变压器1台，年用电量</w:t>
                  </w:r>
                  <w:r>
                    <w:rPr>
                      <w:rFonts w:hint="eastAsia" w:cs="宋体"/>
                      <w:color w:val="auto"/>
                      <w:sz w:val="21"/>
                      <w:szCs w:val="21"/>
                      <w:lang w:val="en-US" w:eastAsia="zh-CN" w:bidi="ar-SA"/>
                    </w:rPr>
                    <w:t>25</w:t>
                  </w:r>
                  <w:r>
                    <w:rPr>
                      <w:rFonts w:hint="default" w:cs="宋体"/>
                      <w:color w:val="auto"/>
                      <w:sz w:val="21"/>
                      <w:szCs w:val="21"/>
                      <w:lang w:val="en-US" w:eastAsia="zh-CN" w:bidi="ar-SA"/>
                    </w:rPr>
                    <w:t>万kwh</w:t>
                  </w:r>
                </w:p>
              </w:tc>
              <w:tc>
                <w:tcPr>
                  <w:tcW w:w="1381" w:type="pct"/>
                  <w:noWrap w:val="0"/>
                  <w:vAlign w:val="center"/>
                </w:tcPr>
                <w:p>
                  <w:pPr>
                    <w:pStyle w:val="24"/>
                    <w:rPr>
                      <w:rFonts w:hint="eastAsia" w:ascii="宋体" w:hAnsi="宋体" w:eastAsia="宋体" w:cs="宋体"/>
                      <w:color w:val="auto"/>
                      <w:sz w:val="21"/>
                      <w:szCs w:val="21"/>
                      <w:lang w:val="en-US" w:eastAsia="zh-CN" w:bidi="ar-SA"/>
                    </w:rPr>
                  </w:pPr>
                  <w:r>
                    <w:rPr>
                      <w:rFonts w:hint="default" w:cs="宋体"/>
                      <w:color w:val="auto"/>
                      <w:sz w:val="21"/>
                      <w:szCs w:val="21"/>
                      <w:lang w:val="en-US" w:eastAsia="zh-CN" w:bidi="ar-SA"/>
                    </w:rPr>
                    <w:t>项目用电接自</w:t>
                  </w:r>
                  <w:r>
                    <w:rPr>
                      <w:rFonts w:hint="eastAsia" w:cs="宋体"/>
                      <w:color w:val="auto"/>
                      <w:sz w:val="21"/>
                      <w:szCs w:val="21"/>
                      <w:lang w:val="en-US" w:eastAsia="zh-CN" w:bidi="ar-SA"/>
                    </w:rPr>
                    <w:t>汪溪园区</w:t>
                  </w:r>
                  <w:r>
                    <w:rPr>
                      <w:rFonts w:hint="default" w:cs="宋体"/>
                      <w:color w:val="auto"/>
                      <w:sz w:val="21"/>
                      <w:szCs w:val="21"/>
                      <w:lang w:val="en-US" w:eastAsia="zh-CN" w:bidi="ar-SA"/>
                    </w:rPr>
                    <w:t>供电线路，</w:t>
                  </w:r>
                  <w:r>
                    <w:rPr>
                      <w:rFonts w:hint="eastAsia" w:cs="宋体"/>
                      <w:color w:val="auto"/>
                      <w:sz w:val="21"/>
                      <w:szCs w:val="21"/>
                      <w:lang w:val="en-US" w:eastAsia="zh-CN" w:bidi="ar-SA"/>
                    </w:rPr>
                    <w:t>依托厂区现有160</w:t>
                  </w:r>
                  <w:r>
                    <w:rPr>
                      <w:rFonts w:hint="default" w:cs="宋体"/>
                      <w:color w:val="auto"/>
                      <w:sz w:val="21"/>
                      <w:szCs w:val="21"/>
                      <w:lang w:val="en-US" w:eastAsia="zh-CN" w:bidi="ar-SA"/>
                    </w:rPr>
                    <w:t>KVA变压器1台，年用电量</w:t>
                  </w:r>
                  <w:r>
                    <w:rPr>
                      <w:rFonts w:hint="eastAsia" w:ascii="宋体" w:hAnsi="宋体" w:eastAsia="宋体" w:cs="宋体"/>
                      <w:color w:val="auto"/>
                      <w:sz w:val="21"/>
                      <w:szCs w:val="21"/>
                      <w:lang w:val="en-US" w:eastAsia="zh-CN" w:bidi="ar-SA"/>
                    </w:rPr>
                    <w:t>15</w:t>
                  </w:r>
                  <w:r>
                    <w:rPr>
                      <w:rFonts w:hint="default" w:ascii="宋体" w:hAnsi="宋体" w:eastAsia="宋体" w:cs="宋体"/>
                      <w:color w:val="auto"/>
                      <w:sz w:val="21"/>
                      <w:szCs w:val="21"/>
                      <w:lang w:val="en-US" w:eastAsia="zh-CN" w:bidi="ar-SA"/>
                    </w:rPr>
                    <w:t>万kwh</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供水</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项目用水取自</w:t>
                  </w:r>
                  <w:r>
                    <w:rPr>
                      <w:rFonts w:hint="eastAsia" w:cs="宋体"/>
                      <w:color w:val="auto"/>
                      <w:sz w:val="21"/>
                      <w:szCs w:val="21"/>
                      <w:lang w:val="en-US" w:eastAsia="zh-CN" w:bidi="ar-SA"/>
                    </w:rPr>
                    <w:t>汪溪园区</w:t>
                  </w:r>
                  <w:r>
                    <w:rPr>
                      <w:rFonts w:hint="default" w:cs="宋体"/>
                      <w:color w:val="auto"/>
                      <w:sz w:val="21"/>
                      <w:szCs w:val="21"/>
                      <w:lang w:val="en-US" w:eastAsia="zh-CN" w:bidi="ar-SA"/>
                    </w:rPr>
                    <w:t>市政供水管网，主要为</w:t>
                  </w:r>
                  <w:r>
                    <w:rPr>
                      <w:rFonts w:hint="eastAsia" w:cs="宋体"/>
                      <w:color w:val="auto"/>
                      <w:sz w:val="21"/>
                      <w:szCs w:val="21"/>
                      <w:lang w:val="en-US" w:eastAsia="zh-CN" w:bidi="ar-SA"/>
                    </w:rPr>
                    <w:t>生产用水和</w:t>
                  </w:r>
                  <w:r>
                    <w:rPr>
                      <w:rFonts w:hint="default" w:cs="宋体"/>
                      <w:color w:val="auto"/>
                      <w:sz w:val="21"/>
                      <w:szCs w:val="21"/>
                      <w:lang w:val="en-US" w:eastAsia="zh-CN" w:bidi="ar-SA"/>
                    </w:rPr>
                    <w:t>职工生活用水，年用水量</w:t>
                  </w:r>
                  <w:r>
                    <w:rPr>
                      <w:rFonts w:hint="eastAsia" w:cs="宋体"/>
                      <w:color w:val="auto"/>
                      <w:sz w:val="21"/>
                      <w:szCs w:val="21"/>
                      <w:lang w:val="en-US" w:eastAsia="zh-CN" w:bidi="ar-SA"/>
                    </w:rPr>
                    <w:t>1540</w:t>
                  </w:r>
                  <w:r>
                    <w:rPr>
                      <w:rFonts w:hint="default" w:cs="宋体"/>
                      <w:color w:val="auto"/>
                      <w:sz w:val="21"/>
                      <w:szCs w:val="21"/>
                      <w:lang w:val="en-US" w:eastAsia="zh-CN" w:bidi="ar-SA"/>
                    </w:rPr>
                    <w:t>m</w:t>
                  </w:r>
                  <w:r>
                    <w:rPr>
                      <w:rFonts w:hint="default" w:cs="宋体"/>
                      <w:color w:val="auto"/>
                      <w:sz w:val="21"/>
                      <w:szCs w:val="21"/>
                      <w:vertAlign w:val="superscript"/>
                      <w:lang w:val="en-US" w:eastAsia="zh-CN" w:bidi="ar-SA"/>
                    </w:rPr>
                    <w:t>3</w:t>
                  </w:r>
                  <w:r>
                    <w:rPr>
                      <w:rFonts w:hint="default" w:cs="宋体"/>
                      <w:color w:val="auto"/>
                      <w:sz w:val="21"/>
                      <w:szCs w:val="21"/>
                      <w:lang w:val="en-US" w:eastAsia="zh-CN" w:bidi="ar-SA"/>
                    </w:rPr>
                    <w:t>。</w:t>
                  </w:r>
                </w:p>
              </w:tc>
              <w:tc>
                <w:tcPr>
                  <w:tcW w:w="1381" w:type="pct"/>
                  <w:noWrap w:val="0"/>
                  <w:vAlign w:val="center"/>
                </w:tcPr>
                <w:p>
                  <w:pPr>
                    <w:pStyle w:val="24"/>
                    <w:rPr>
                      <w:rFonts w:hint="eastAsia" w:ascii="宋体" w:hAnsi="宋体" w:eastAsia="宋体" w:cs="宋体"/>
                      <w:color w:val="auto"/>
                      <w:sz w:val="21"/>
                      <w:szCs w:val="21"/>
                      <w:lang w:val="en-US" w:eastAsia="zh-CN" w:bidi="ar-SA"/>
                    </w:rPr>
                  </w:pPr>
                  <w:r>
                    <w:rPr>
                      <w:rFonts w:hint="default" w:cs="宋体"/>
                      <w:color w:val="auto"/>
                      <w:sz w:val="21"/>
                      <w:szCs w:val="21"/>
                      <w:lang w:val="en-US" w:eastAsia="zh-CN" w:bidi="ar-SA"/>
                    </w:rPr>
                    <w:t>项目用水取自</w:t>
                  </w:r>
                  <w:r>
                    <w:rPr>
                      <w:rFonts w:hint="eastAsia" w:cs="宋体"/>
                      <w:color w:val="auto"/>
                      <w:sz w:val="21"/>
                      <w:szCs w:val="21"/>
                      <w:lang w:val="en-US" w:eastAsia="zh-CN" w:bidi="ar-SA"/>
                    </w:rPr>
                    <w:t>汪溪园区</w:t>
                  </w:r>
                  <w:r>
                    <w:rPr>
                      <w:rFonts w:hint="default" w:cs="宋体"/>
                      <w:color w:val="auto"/>
                      <w:sz w:val="21"/>
                      <w:szCs w:val="21"/>
                      <w:lang w:val="en-US" w:eastAsia="zh-CN" w:bidi="ar-SA"/>
                    </w:rPr>
                    <w:t>市政供水管网，主要为</w:t>
                  </w:r>
                  <w:r>
                    <w:rPr>
                      <w:rFonts w:hint="eastAsia" w:cs="宋体"/>
                      <w:color w:val="auto"/>
                      <w:sz w:val="21"/>
                      <w:szCs w:val="21"/>
                      <w:lang w:val="en-US" w:eastAsia="zh-CN" w:bidi="ar-SA"/>
                    </w:rPr>
                    <w:t>生产用水和</w:t>
                  </w:r>
                  <w:r>
                    <w:rPr>
                      <w:rFonts w:hint="default" w:cs="宋体"/>
                      <w:color w:val="auto"/>
                      <w:sz w:val="21"/>
                      <w:szCs w:val="21"/>
                      <w:lang w:val="en-US" w:eastAsia="zh-CN" w:bidi="ar-SA"/>
                    </w:rPr>
                    <w:t>职工生活用水，年用水</w:t>
                  </w:r>
                  <w:r>
                    <w:rPr>
                      <w:rFonts w:hint="default" w:ascii="宋体" w:hAnsi="宋体" w:eastAsia="宋体" w:cs="宋体"/>
                      <w:color w:val="auto"/>
                      <w:sz w:val="21"/>
                      <w:szCs w:val="21"/>
                      <w:lang w:val="en-US" w:eastAsia="zh-CN" w:bidi="ar-SA"/>
                    </w:rPr>
                    <w:t>量</w:t>
                  </w:r>
                  <w:r>
                    <w:rPr>
                      <w:rFonts w:hint="eastAsia" w:ascii="宋体" w:hAnsi="宋体" w:eastAsia="宋体" w:cs="宋体"/>
                      <w:color w:val="auto"/>
                      <w:sz w:val="21"/>
                      <w:szCs w:val="21"/>
                      <w:lang w:val="en-US" w:eastAsia="zh-CN" w:bidi="ar-SA"/>
                    </w:rPr>
                    <w:t>1248</w:t>
                  </w:r>
                  <w:r>
                    <w:rPr>
                      <w:rFonts w:hint="default" w:ascii="宋体" w:hAnsi="宋体" w:eastAsia="宋体" w:cs="宋体"/>
                      <w:color w:val="auto"/>
                      <w:sz w:val="21"/>
                      <w:szCs w:val="21"/>
                      <w:lang w:val="en-US" w:eastAsia="zh-CN" w:bidi="ar-SA"/>
                    </w:rPr>
                    <w:t>m3。</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sz w:val="21"/>
                      <w:szCs w:val="21"/>
                    </w:rPr>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排水</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雨污管网分流，雨水收集后排入市政雨水管网，</w:t>
                  </w:r>
                  <w:r>
                    <w:rPr>
                      <w:rFonts w:hint="eastAsia" w:cs="宋体"/>
                      <w:color w:val="auto"/>
                      <w:sz w:val="21"/>
                      <w:szCs w:val="21"/>
                      <w:lang w:val="en-US" w:eastAsia="zh-CN" w:bidi="ar-SA"/>
                    </w:rPr>
                    <w:t>生产废水经三级沉淀池沉淀后回用</w:t>
                  </w:r>
                  <w:r>
                    <w:rPr>
                      <w:rFonts w:hint="default" w:cs="宋体"/>
                      <w:color w:val="auto"/>
                      <w:sz w:val="21"/>
                      <w:szCs w:val="21"/>
                      <w:lang w:val="en-US" w:eastAsia="zh-CN" w:bidi="ar-SA"/>
                    </w:rPr>
                    <w:t>。生活废水</w:t>
                  </w:r>
                  <w:r>
                    <w:rPr>
                      <w:rFonts w:hint="eastAsia" w:cs="宋体"/>
                      <w:color w:val="auto"/>
                      <w:sz w:val="21"/>
                      <w:szCs w:val="21"/>
                      <w:lang w:val="en-US" w:eastAsia="zh-CN" w:bidi="ar-SA"/>
                    </w:rPr>
                    <w:t>：近期，经地埋式污水处理装置处理达《污水综合排放标准》（GB8978-1996）一级标准，用于厂区绿化；远期，汪溪殷白拓展区污水处理站及管网建设完成后，经地埋式污水处理装置处理达接管标准，通过污水管网进入殷白污水处理厂。</w:t>
                  </w:r>
                </w:p>
              </w:tc>
              <w:tc>
                <w:tcPr>
                  <w:tcW w:w="1381" w:type="pct"/>
                  <w:noWrap w:val="0"/>
                  <w:vAlign w:val="center"/>
                </w:tcPr>
                <w:p>
                  <w:pPr>
                    <w:pStyle w:val="24"/>
                    <w:jc w:val="center"/>
                    <w:rPr>
                      <w:rFonts w:hint="default" w:ascii="宋体" w:hAnsi="宋体" w:eastAsia="宋体" w:cs="宋体"/>
                      <w:color w:val="auto"/>
                      <w:sz w:val="21"/>
                      <w:szCs w:val="21"/>
                      <w:lang w:val="en-US" w:eastAsia="zh-CN" w:bidi="ar-SA"/>
                    </w:rPr>
                  </w:pPr>
                  <w:r>
                    <w:rPr>
                      <w:rFonts w:hint="default" w:cs="宋体"/>
                      <w:color w:val="auto"/>
                      <w:sz w:val="21"/>
                      <w:szCs w:val="21"/>
                      <w:lang w:val="en-US" w:eastAsia="zh-CN" w:bidi="ar-SA"/>
                    </w:rPr>
                    <w:t>雨污管网分流，雨水收集后排入市政雨水管网，</w:t>
                  </w:r>
                  <w:r>
                    <w:rPr>
                      <w:rFonts w:hint="eastAsia" w:cs="宋体"/>
                      <w:color w:val="auto"/>
                      <w:sz w:val="21"/>
                      <w:szCs w:val="21"/>
                      <w:lang w:val="en-US" w:eastAsia="zh-CN" w:bidi="ar-SA"/>
                    </w:rPr>
                    <w:t>生产废水经三级沉淀池沉淀后回用</w:t>
                  </w:r>
                  <w:r>
                    <w:rPr>
                      <w:rFonts w:hint="default" w:cs="宋体"/>
                      <w:color w:val="auto"/>
                      <w:sz w:val="21"/>
                      <w:szCs w:val="21"/>
                      <w:lang w:val="en-US" w:eastAsia="zh-CN" w:bidi="ar-SA"/>
                    </w:rPr>
                    <w:t>。生活废水</w:t>
                  </w:r>
                  <w:r>
                    <w:rPr>
                      <w:rFonts w:hint="eastAsia" w:cs="宋体"/>
                      <w:color w:val="auto"/>
                      <w:sz w:val="21"/>
                      <w:szCs w:val="21"/>
                      <w:lang w:val="en-US" w:eastAsia="zh-CN" w:bidi="ar-SA"/>
                    </w:rPr>
                    <w:t>：近期，化粪池预处理后，用于厂区绿化，不外排</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废气处理</w:t>
                  </w:r>
                </w:p>
              </w:tc>
              <w:tc>
                <w:tcPr>
                  <w:tcW w:w="1381" w:type="pct"/>
                  <w:noWrap w:val="0"/>
                  <w:vAlign w:val="center"/>
                </w:tcPr>
                <w:p>
                  <w:pPr>
                    <w:pStyle w:val="24"/>
                    <w:rPr>
                      <w:rFonts w:hint="eastAsia" w:cs="宋体"/>
                      <w:color w:val="auto"/>
                      <w:sz w:val="21"/>
                      <w:szCs w:val="21"/>
                      <w:lang w:val="en-US" w:eastAsia="zh-CN" w:bidi="ar-SA"/>
                    </w:rPr>
                  </w:pPr>
                  <w:r>
                    <w:rPr>
                      <w:rFonts w:hint="eastAsia" w:cs="宋体"/>
                      <w:color w:val="auto"/>
                      <w:sz w:val="21"/>
                      <w:szCs w:val="21"/>
                      <w:lang w:val="en-US" w:eastAsia="zh-CN" w:bidi="ar-SA"/>
                    </w:rPr>
                    <w:t>湿法作业，切割机上方及打磨区域安装集气罩将废气收集后引入布袋除尘器处理达标后经15米高排气筒排放，火烧机液化石油气燃烧废气经15米高排气筒外排</w:t>
                  </w:r>
                  <w:r>
                    <w:rPr>
                      <w:rFonts w:hint="default" w:cs="宋体"/>
                      <w:color w:val="auto"/>
                      <w:sz w:val="21"/>
                      <w:szCs w:val="21"/>
                      <w:lang w:val="en-US" w:eastAsia="zh-CN" w:bidi="ar-SA"/>
                    </w:rPr>
                    <w:t>。</w:t>
                  </w:r>
                </w:p>
              </w:tc>
              <w:tc>
                <w:tcPr>
                  <w:tcW w:w="1381" w:type="pct"/>
                  <w:noWrap w:val="0"/>
                  <w:vAlign w:val="center"/>
                </w:tcPr>
                <w:p>
                  <w:pPr>
                    <w:pStyle w:val="24"/>
                    <w:rPr>
                      <w:rFonts w:hint="eastAsia" w:ascii="宋体" w:hAnsi="宋体" w:eastAsia="宋体" w:cs="宋体"/>
                      <w:color w:val="auto"/>
                      <w:sz w:val="21"/>
                      <w:szCs w:val="21"/>
                      <w:lang w:val="en-US" w:eastAsia="zh-CN" w:bidi="ar-SA"/>
                    </w:rPr>
                  </w:pPr>
                  <w:r>
                    <w:rPr>
                      <w:rFonts w:hint="eastAsia" w:cs="宋体"/>
                      <w:color w:val="auto"/>
                      <w:sz w:val="21"/>
                      <w:szCs w:val="21"/>
                      <w:lang w:val="en-US" w:eastAsia="zh-CN" w:bidi="ar-SA"/>
                    </w:rPr>
                    <w:t>切割区均湿法作业，火烧机液化石油气燃烧废气经布袋除尘后通过15米高排气筒外排</w:t>
                  </w:r>
                  <w:r>
                    <w:rPr>
                      <w:rFonts w:hint="default" w:cs="宋体"/>
                      <w:color w:val="auto"/>
                      <w:sz w:val="21"/>
                      <w:szCs w:val="21"/>
                      <w:lang w:val="en-US" w:eastAsia="zh-CN" w:bidi="ar-SA"/>
                    </w:rPr>
                    <w:t>。</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本次验收为阶段性验收，手工打磨和手工切割不在本次验收范围内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废水处理</w:t>
                  </w:r>
                </w:p>
              </w:tc>
              <w:tc>
                <w:tcPr>
                  <w:tcW w:w="1381" w:type="pct"/>
                  <w:noWrap w:val="0"/>
                  <w:vAlign w:val="center"/>
                </w:tcPr>
                <w:p>
                  <w:pPr>
                    <w:pStyle w:val="24"/>
                    <w:rPr>
                      <w:rFonts w:hint="eastAsia" w:cs="宋体"/>
                      <w:color w:val="auto"/>
                      <w:sz w:val="21"/>
                      <w:szCs w:val="21"/>
                      <w:lang w:val="en-US" w:eastAsia="zh-CN" w:bidi="ar-SA"/>
                    </w:rPr>
                  </w:pPr>
                  <w:r>
                    <w:rPr>
                      <w:rFonts w:hint="eastAsia" w:cs="宋体"/>
                      <w:color w:val="auto"/>
                      <w:sz w:val="21"/>
                      <w:szCs w:val="21"/>
                      <w:lang w:val="en-US" w:eastAsia="zh-CN" w:bidi="ar-SA"/>
                    </w:rPr>
                    <w:t>生产废水经三级沉淀池沉淀后回用。</w:t>
                  </w:r>
                  <w:r>
                    <w:rPr>
                      <w:rFonts w:hint="default" w:cs="宋体"/>
                      <w:color w:val="auto"/>
                      <w:sz w:val="21"/>
                      <w:szCs w:val="21"/>
                      <w:lang w:val="en-US" w:eastAsia="zh-CN" w:bidi="ar-SA"/>
                    </w:rPr>
                    <w:t>生活废水</w:t>
                  </w:r>
                  <w:r>
                    <w:rPr>
                      <w:rFonts w:hint="eastAsia" w:cs="宋体"/>
                      <w:color w:val="auto"/>
                      <w:sz w:val="21"/>
                      <w:szCs w:val="21"/>
                      <w:lang w:val="en-US" w:eastAsia="zh-CN" w:bidi="ar-SA"/>
                    </w:rPr>
                    <w:t>：近期，经地埋式污水处理装置处理达《污水综合排放标准》（GB8978-1996）一级标准，用于厂区绿化；远期，汪溪殷白拓展区污水处理站及管网建设完成后，经地埋式污水处理装置处理达接管标准，通过污水管网进入殷白污水处理厂。</w:t>
                  </w:r>
                </w:p>
              </w:tc>
              <w:tc>
                <w:tcPr>
                  <w:tcW w:w="1381" w:type="pct"/>
                  <w:noWrap w:val="0"/>
                  <w:vAlign w:val="center"/>
                </w:tcPr>
                <w:p>
                  <w:pPr>
                    <w:pStyle w:val="24"/>
                    <w:rPr>
                      <w:rFonts w:hint="eastAsia" w:ascii="宋体" w:hAnsi="宋体" w:eastAsia="宋体" w:cs="宋体"/>
                      <w:color w:val="auto"/>
                      <w:sz w:val="21"/>
                      <w:szCs w:val="21"/>
                      <w:lang w:val="en-US" w:eastAsia="zh-CN" w:bidi="ar-SA"/>
                    </w:rPr>
                  </w:pPr>
                  <w:r>
                    <w:rPr>
                      <w:rFonts w:hint="eastAsia" w:cs="宋体"/>
                      <w:color w:val="auto"/>
                      <w:sz w:val="21"/>
                      <w:szCs w:val="21"/>
                      <w:lang w:val="en-US" w:eastAsia="zh-CN" w:bidi="ar-SA"/>
                    </w:rPr>
                    <w:t>生产废水经三级沉淀池沉淀后回用。</w:t>
                  </w:r>
                  <w:r>
                    <w:rPr>
                      <w:rFonts w:hint="default" w:cs="宋体"/>
                      <w:color w:val="auto"/>
                      <w:sz w:val="21"/>
                      <w:szCs w:val="21"/>
                      <w:lang w:val="en-US" w:eastAsia="zh-CN" w:bidi="ar-SA"/>
                    </w:rPr>
                    <w:t>生活废水</w:t>
                  </w:r>
                  <w:r>
                    <w:rPr>
                      <w:rFonts w:hint="eastAsia" w:cs="宋体"/>
                      <w:color w:val="auto"/>
                      <w:sz w:val="21"/>
                      <w:szCs w:val="21"/>
                      <w:lang w:val="en-US" w:eastAsia="zh-CN" w:bidi="ar-SA"/>
                    </w:rPr>
                    <w:t>：近期，经地埋式污水处理装置处理达《污水综合排放标准》（GB8978-1996）一级标准，用于厂区绿化</w:t>
                  </w:r>
                </w:p>
              </w:tc>
              <w:tc>
                <w:tcPr>
                  <w:tcW w:w="843" w:type="pc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噪声处理</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隔声、减震、消声、绿化等。</w:t>
                  </w:r>
                </w:p>
              </w:tc>
              <w:tc>
                <w:tcPr>
                  <w:tcW w:w="1381" w:type="pct"/>
                  <w:noWrap w:val="0"/>
                  <w:vAlign w:val="center"/>
                </w:tcPr>
                <w:p>
                  <w:pPr>
                    <w:pStyle w:val="24"/>
                    <w:jc w:val="center"/>
                    <w:rPr>
                      <w:rFonts w:hint="eastAsia" w:ascii="宋体" w:hAnsi="宋体" w:eastAsia="宋体" w:cs="宋体"/>
                      <w:color w:val="auto"/>
                      <w:sz w:val="21"/>
                      <w:szCs w:val="21"/>
                      <w:lang w:val="en-US" w:eastAsia="zh-CN" w:bidi="ar-SA"/>
                    </w:rPr>
                  </w:pPr>
                  <w:r>
                    <w:rPr>
                      <w:rFonts w:hint="default" w:cs="宋体"/>
                      <w:color w:val="auto"/>
                      <w:sz w:val="21"/>
                      <w:szCs w:val="21"/>
                      <w:lang w:val="en-US" w:eastAsia="zh-CN" w:bidi="ar-SA"/>
                    </w:rPr>
                    <w:t>隔声、减震、消声、绿化等。</w:t>
                  </w:r>
                </w:p>
              </w:tc>
              <w:tc>
                <w:tcPr>
                  <w:tcW w:w="843" w:type="pct"/>
                  <w:noWrap w:val="0"/>
                  <w:vAlign w:val="center"/>
                </w:tcPr>
                <w:p>
                  <w:pPr>
                    <w:pStyle w:val="24"/>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eastAsia="zh-CN"/>
                    </w:rPr>
                  </w:pPr>
                </w:p>
              </w:tc>
              <w:tc>
                <w:tcPr>
                  <w:tcW w:w="695"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固废处理</w:t>
                  </w:r>
                </w:p>
              </w:tc>
              <w:tc>
                <w:tcPr>
                  <w:tcW w:w="1381" w:type="pct"/>
                  <w:noWrap w:val="0"/>
                  <w:vAlign w:val="center"/>
                </w:tcPr>
                <w:p>
                  <w:pPr>
                    <w:pStyle w:val="24"/>
                    <w:rPr>
                      <w:rFonts w:hint="eastAsia" w:cs="宋体"/>
                      <w:color w:val="auto"/>
                      <w:sz w:val="21"/>
                      <w:szCs w:val="21"/>
                      <w:lang w:val="en-US" w:eastAsia="zh-CN" w:bidi="ar-SA"/>
                    </w:rPr>
                  </w:pPr>
                  <w:r>
                    <w:rPr>
                      <w:rFonts w:hint="default" w:cs="宋体"/>
                      <w:color w:val="auto"/>
                      <w:sz w:val="21"/>
                      <w:szCs w:val="21"/>
                      <w:lang w:val="en-US" w:eastAsia="zh-CN" w:bidi="ar-SA"/>
                    </w:rPr>
                    <w:t>边角料收集后外售综合利用；设置垃圾箱。</w:t>
                  </w:r>
                </w:p>
              </w:tc>
              <w:tc>
                <w:tcPr>
                  <w:tcW w:w="1381" w:type="pct"/>
                  <w:noWrap w:val="0"/>
                  <w:vAlign w:val="center"/>
                </w:tcPr>
                <w:p>
                  <w:pPr>
                    <w:pStyle w:val="24"/>
                    <w:jc w:val="center"/>
                    <w:rPr>
                      <w:rFonts w:hint="eastAsia" w:ascii="宋体" w:hAnsi="宋体" w:eastAsia="宋体" w:cs="宋体"/>
                      <w:color w:val="auto"/>
                      <w:sz w:val="21"/>
                      <w:szCs w:val="21"/>
                      <w:lang w:val="en-US" w:eastAsia="zh-CN" w:bidi="ar-SA"/>
                    </w:rPr>
                  </w:pPr>
                  <w:r>
                    <w:rPr>
                      <w:rFonts w:hint="default" w:cs="宋体"/>
                      <w:color w:val="auto"/>
                      <w:sz w:val="21"/>
                      <w:szCs w:val="21"/>
                      <w:lang w:val="en-US" w:eastAsia="zh-CN" w:bidi="ar-SA"/>
                    </w:rPr>
                    <w:t>边角料收集后外售综合利用；设置垃圾箱。</w:t>
                  </w:r>
                </w:p>
              </w:tc>
              <w:tc>
                <w:tcPr>
                  <w:tcW w:w="843" w:type="pct"/>
                  <w:noWrap w:val="0"/>
                  <w:vAlign w:val="center"/>
                </w:tcPr>
                <w:p>
                  <w:pPr>
                    <w:pStyle w:val="24"/>
                    <w:rPr>
                      <w:rFonts w:hint="eastAsia" w:ascii="宋体" w:hAnsi="宋体" w:eastAsia="宋体" w:cs="宋体"/>
                      <w:color w:val="auto"/>
                      <w:sz w:val="21"/>
                      <w:szCs w:val="21"/>
                      <w:lang w:val="en-US" w:eastAsia="zh-CN"/>
                    </w:rPr>
                  </w:pPr>
                </w:p>
              </w:tc>
            </w:tr>
          </w:tbl>
          <w:p>
            <w:pPr>
              <w:keepNext w:val="0"/>
              <w:keepLines w:val="0"/>
              <w:pageBreakBefore w:val="0"/>
              <w:widowControl/>
              <w:numPr>
                <w:ilvl w:val="0"/>
                <w:numId w:val="2"/>
              </w:numPr>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color w:val="FF0000"/>
                <w:sz w:val="24"/>
                <w:szCs w:val="24"/>
                <w:lang w:val="en-US" w:eastAsia="zh-CN"/>
              </w:rPr>
            </w:pPr>
            <w:r>
              <w:rPr>
                <w:rFonts w:hint="default" w:ascii="Times New Roman" w:hAnsi="Times New Roman" w:eastAsia="宋体" w:cs="Times New Roman"/>
                <w:b/>
                <w:bCs/>
                <w:color w:val="auto"/>
                <w:sz w:val="24"/>
                <w:szCs w:val="24"/>
                <w:lang w:val="en-US" w:eastAsia="zh-CN"/>
              </w:rPr>
              <w:t>本项目</w:t>
            </w:r>
            <w:r>
              <w:rPr>
                <w:rFonts w:hint="eastAsia" w:ascii="Times New Roman" w:hAnsi="Times New Roman" w:eastAsia="宋体" w:cs="Times New Roman"/>
                <w:b/>
                <w:bCs/>
                <w:color w:val="auto"/>
                <w:sz w:val="24"/>
                <w:szCs w:val="24"/>
                <w:lang w:val="en-US" w:eastAsia="zh-CN"/>
              </w:rPr>
              <w:t>本次验收</w:t>
            </w:r>
            <w:r>
              <w:rPr>
                <w:rFonts w:hint="default" w:ascii="Times New Roman" w:hAnsi="Times New Roman" w:eastAsia="宋体" w:cs="Times New Roman"/>
                <w:b/>
                <w:bCs/>
                <w:color w:val="auto"/>
                <w:sz w:val="24"/>
                <w:szCs w:val="24"/>
                <w:lang w:val="en-US" w:eastAsia="zh-CN"/>
              </w:rPr>
              <w:t>变动情况</w:t>
            </w:r>
            <w:r>
              <w:rPr>
                <w:rFonts w:hint="eastAsia" w:ascii="Times New Roman" w:hAnsi="Times New Roman" w:eastAsia="宋体" w:cs="Times New Roman"/>
                <w:b/>
                <w:bCs/>
                <w:color w:val="auto"/>
                <w:sz w:val="24"/>
                <w:szCs w:val="24"/>
                <w:lang w:val="en-US" w:eastAsia="zh-CN"/>
              </w:rPr>
              <w:t>如下</w:t>
            </w:r>
            <w:r>
              <w:rPr>
                <w:rFonts w:hint="default" w:ascii="Times New Roman" w:hAnsi="Times New Roman" w:eastAsia="宋体" w:cs="Times New Roman"/>
                <w:b/>
                <w:bCs/>
                <w:color w:val="auto"/>
                <w:sz w:val="24"/>
                <w:szCs w:val="24"/>
                <w:lang w:val="en-US" w:eastAsia="zh-CN"/>
              </w:rPr>
              <w:t>：</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表3-2 项目变动情况一览表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2284"/>
              <w:gridCol w:w="2258"/>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项目</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环评情况</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实际建设情况</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eastAsia="zh-CN"/>
                    </w:rPr>
                    <w:t>是否属于重大变动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建设项目开发、使用功能发生变化。</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项目选址于宁国市汪溪街道殷白村汪溪石材加工集中市场</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位于宁国市汪溪街道殷白村汪溪石材加工集中市场</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eastAsia="zh-CN"/>
                    </w:rPr>
                    <w:t>生产、处置或储存能力增大</w:t>
                  </w:r>
                  <w:r>
                    <w:rPr>
                      <w:rFonts w:hint="eastAsia" w:ascii="宋体" w:hAnsi="宋体" w:eastAsia="宋体" w:cs="宋体"/>
                      <w:color w:val="auto"/>
                      <w:sz w:val="21"/>
                      <w:szCs w:val="21"/>
                      <w:vertAlign w:val="baseline"/>
                      <w:lang w:val="en-US" w:eastAsia="zh-CN"/>
                    </w:rPr>
                    <w:t>30%及以上。</w:t>
                  </w:r>
                  <w:r>
                    <w:rPr>
                      <w:rFonts w:hint="default" w:ascii="Times New Roman" w:hAnsi="Times New Roman" w:eastAsia="宋体" w:cs="Times New Roman"/>
                      <w:color w:val="auto"/>
                      <w:sz w:val="21"/>
                      <w:szCs w:val="21"/>
                      <w:vertAlign w:val="baseline"/>
                      <w:lang w:eastAsia="zh-CN"/>
                    </w:rPr>
                    <w:t>生产、处置或储存能力增大，导致废水第一类污染物排放量增加。</w:t>
                  </w:r>
                  <w:r>
                    <w:rPr>
                      <w:rFonts w:hint="default" w:ascii="Times New Roman" w:hAnsi="Times New Roman" w:eastAsia="宋体" w:cs="Times New Roman"/>
                      <w:color w:val="auto"/>
                      <w:sz w:val="21"/>
                      <w:szCs w:val="21"/>
                      <w:vertAlign w:val="baseline"/>
                    </w:rPr>
                    <w:t>位于达标区的建设项目生产、处置或储存能力增大，导致污染物排放量增加10%及以上</w:t>
                  </w:r>
                  <w:r>
                    <w:rPr>
                      <w:rFonts w:hint="default" w:ascii="Times New Roman" w:hAnsi="Times New Roman" w:eastAsia="宋体" w:cs="Times New Roman"/>
                      <w:color w:val="auto"/>
                      <w:sz w:val="21"/>
                      <w:szCs w:val="21"/>
                      <w:vertAlign w:val="baseline"/>
                      <w:lang w:eastAsia="zh-CN"/>
                    </w:rPr>
                    <w:t>。</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年产毛板5000吨、抛光板2000吨、火烧板1000吨</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年产毛板5000吨、火烧板1000吨</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宋体" w:hAnsi="宋体" w:eastAsia="宋体" w:cs="宋体"/>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在原厂址附近调整（包括总平面布置变化）导致环境防护距离范围变化且新增敏感点。</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环境防护距离范围</w:t>
                  </w:r>
                  <w:r>
                    <w:rPr>
                      <w:rFonts w:hint="eastAsia" w:ascii="Times New Roman" w:hAnsi="Times New Roman" w:eastAsia="宋体"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rPr>
                    <w:t>敏感点</w:t>
                  </w:r>
                  <w:r>
                    <w:rPr>
                      <w:rFonts w:hint="eastAsia" w:ascii="Times New Roman" w:hAnsi="Times New Roman" w:eastAsia="宋体" w:cs="Times New Roman"/>
                      <w:color w:val="auto"/>
                      <w:sz w:val="21"/>
                      <w:szCs w:val="21"/>
                      <w:vertAlign w:val="baseline"/>
                      <w:lang w:eastAsia="zh-CN"/>
                    </w:rPr>
                    <w:t>。</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环境防护距离范围</w:t>
                  </w:r>
                  <w:r>
                    <w:rPr>
                      <w:rFonts w:hint="eastAsia" w:ascii="Times New Roman" w:hAnsi="Times New Roman" w:eastAsia="宋体" w:cs="Times New Roman"/>
                      <w:color w:val="auto"/>
                      <w:sz w:val="21"/>
                      <w:szCs w:val="21"/>
                      <w:vertAlign w:val="baseline"/>
                      <w:lang w:eastAsia="zh-CN"/>
                    </w:rPr>
                    <w:t>无</w:t>
                  </w:r>
                  <w:r>
                    <w:rPr>
                      <w:rFonts w:hint="default" w:ascii="Times New Roman" w:hAnsi="Times New Roman" w:eastAsia="宋体" w:cs="Times New Roman"/>
                      <w:color w:val="auto"/>
                      <w:sz w:val="21"/>
                      <w:szCs w:val="21"/>
                      <w:vertAlign w:val="baseline"/>
                    </w:rPr>
                    <w:t>敏感点</w:t>
                  </w:r>
                  <w:r>
                    <w:rPr>
                      <w:rFonts w:hint="eastAsia" w:ascii="Times New Roman" w:hAnsi="Times New Roman" w:eastAsia="宋体" w:cs="Times New Roman"/>
                      <w:color w:val="auto"/>
                      <w:sz w:val="21"/>
                      <w:szCs w:val="21"/>
                      <w:vertAlign w:val="baseline"/>
                      <w:lang w:eastAsia="zh-CN"/>
                    </w:rPr>
                    <w:t>。</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新增产品品种或生产工艺（含主要生产装置、设备及配套设施）、主要原辅材料、燃料变化，导致以下情形之一：（1</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新增排放污染物种类的（毒性、挥发性降低的除外）；（2</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位于环境质量不达标区的建设项目相应污染物排放量增加的；（3</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废水第一类污染物排放量增加的；（4</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rPr>
                    <w:t>其他污染物排放量增加10%及以上</w:t>
                  </w:r>
                  <w:r>
                    <w:rPr>
                      <w:rFonts w:hint="default" w:ascii="Times New Roman" w:hAnsi="Times New Roman" w:eastAsia="宋体" w:cs="Times New Roman"/>
                      <w:color w:val="auto"/>
                      <w:sz w:val="21"/>
                      <w:szCs w:val="21"/>
                      <w:vertAlign w:val="baseline"/>
                      <w:lang w:eastAsia="zh-CN"/>
                    </w:rPr>
                    <w:t>。</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年产毛板5000吨、抛光板2000吨、火烧板1000吨</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年产毛板5000吨、火烧板1000吨</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eastAsia" w:ascii="Times New Roman" w:hAnsi="Times New Roman" w:eastAsia="宋体" w:cs="Times New Roman"/>
                      <w:color w:val="auto"/>
                      <w:sz w:val="21"/>
                      <w:szCs w:val="21"/>
                      <w:vertAlign w:val="baseline"/>
                      <w:lang w:val="en-US" w:eastAsia="zh-CN"/>
                    </w:rPr>
                    <w:t>阶段性验收，不属于重大变动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物料运输、装卸、贮存方式变化，导致大气污染物无组织排放量增加10%及以上</w:t>
                  </w:r>
                  <w:r>
                    <w:rPr>
                      <w:rFonts w:hint="default" w:ascii="Times New Roman" w:hAnsi="Times New Roman" w:eastAsia="宋体" w:cs="Times New Roman"/>
                      <w:color w:val="auto"/>
                      <w:sz w:val="21"/>
                      <w:szCs w:val="21"/>
                      <w:vertAlign w:val="baseline"/>
                      <w:lang w:eastAsia="zh-CN"/>
                    </w:rPr>
                    <w:t>。</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物料运输、装卸、贮存方式</w:t>
                  </w:r>
                  <w:r>
                    <w:rPr>
                      <w:rFonts w:hint="eastAsia" w:ascii="Times New Roman" w:hAnsi="Times New Roman" w:eastAsia="宋体" w:cs="Times New Roman"/>
                      <w:color w:val="auto"/>
                      <w:sz w:val="21"/>
                      <w:szCs w:val="21"/>
                      <w:vertAlign w:val="baseline"/>
                      <w:lang w:eastAsia="zh-CN"/>
                    </w:rPr>
                    <w:t>未发生</w:t>
                  </w:r>
                  <w:r>
                    <w:rPr>
                      <w:rFonts w:hint="default" w:ascii="Times New Roman" w:hAnsi="Times New Roman" w:eastAsia="宋体" w:cs="Times New Roman"/>
                      <w:color w:val="auto"/>
                      <w:sz w:val="21"/>
                      <w:szCs w:val="21"/>
                      <w:vertAlign w:val="baseline"/>
                    </w:rPr>
                    <w:t>变化</w:t>
                  </w:r>
                  <w:r>
                    <w:rPr>
                      <w:rFonts w:hint="eastAsia" w:ascii="Times New Roman" w:hAnsi="Times New Roman" w:eastAsia="宋体" w:cs="Times New Roman"/>
                      <w:color w:val="auto"/>
                      <w:sz w:val="21"/>
                      <w:szCs w:val="21"/>
                      <w:vertAlign w:val="baseline"/>
                      <w:lang w:eastAsia="zh-CN"/>
                    </w:rPr>
                    <w:t>。</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物料运输、装卸、贮存方式</w:t>
                  </w:r>
                  <w:r>
                    <w:rPr>
                      <w:rFonts w:hint="eastAsia" w:ascii="Times New Roman" w:hAnsi="Times New Roman" w:eastAsia="宋体" w:cs="Times New Roman"/>
                      <w:color w:val="auto"/>
                      <w:sz w:val="21"/>
                      <w:szCs w:val="21"/>
                      <w:vertAlign w:val="baseline"/>
                      <w:lang w:eastAsia="zh-CN"/>
                    </w:rPr>
                    <w:t>未发生</w:t>
                  </w:r>
                  <w:r>
                    <w:rPr>
                      <w:rFonts w:hint="default" w:ascii="Times New Roman" w:hAnsi="Times New Roman" w:eastAsia="宋体" w:cs="Times New Roman"/>
                      <w:color w:val="auto"/>
                      <w:sz w:val="21"/>
                      <w:szCs w:val="21"/>
                      <w:vertAlign w:val="baseline"/>
                    </w:rPr>
                    <w:t>变化</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无变动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废气、废水污染防治措施变化，导致第6条中所列情形之一（废气无组织排放改为有组织排放、污染防治措施强化或改进的除外）或大气污染物无组织排放量增加10%及以上。</w:t>
                  </w:r>
                </w:p>
              </w:tc>
              <w:tc>
                <w:tcPr>
                  <w:tcW w:w="2284" w:type="dxa"/>
                  <w:vAlign w:val="center"/>
                </w:tcPr>
                <w:p>
                  <w:pPr>
                    <w:pStyle w:val="24"/>
                    <w:widowControl w:val="0"/>
                    <w:rPr>
                      <w:rFonts w:hint="default" w:ascii="宋体" w:hAnsi="宋体" w:eastAsia="宋体" w:cs="宋体"/>
                      <w:color w:val="auto"/>
                      <w:sz w:val="21"/>
                      <w:szCs w:val="21"/>
                      <w:lang w:val="en-US" w:eastAsia="zh-CN" w:bidi="ar-SA"/>
                    </w:rPr>
                  </w:pPr>
                  <w:r>
                    <w:rPr>
                      <w:rFonts w:hint="eastAsia" w:cs="宋体"/>
                      <w:color w:val="auto"/>
                      <w:sz w:val="21"/>
                      <w:szCs w:val="21"/>
                      <w:lang w:val="en-US" w:eastAsia="zh-CN" w:bidi="ar-SA"/>
                    </w:rPr>
                    <w:t>湿法作业，切割机上方及打磨区域安装集气罩将废气收集后引入布袋除尘器处理达标后经15米高排气筒排放，火烧机液化石油气燃烧废气经15米高排气筒外排</w:t>
                  </w:r>
                  <w:r>
                    <w:rPr>
                      <w:rFonts w:hint="default" w:cs="宋体"/>
                      <w:color w:val="auto"/>
                      <w:sz w:val="21"/>
                      <w:szCs w:val="21"/>
                      <w:lang w:val="en-US" w:eastAsia="zh-CN" w:bidi="ar-SA"/>
                    </w:rPr>
                    <w:t>。</w:t>
                  </w:r>
                </w:p>
              </w:tc>
              <w:tc>
                <w:tcPr>
                  <w:tcW w:w="2258" w:type="dxa"/>
                  <w:vAlign w:val="center"/>
                </w:tcPr>
                <w:p>
                  <w:pPr>
                    <w:pStyle w:val="24"/>
                    <w:widowControl w:val="0"/>
                    <w:rPr>
                      <w:rFonts w:hint="default"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切割区均湿法作业，火烧机</w:t>
                  </w:r>
                  <w:r>
                    <w:rPr>
                      <w:rFonts w:hint="eastAsia" w:cs="宋体"/>
                      <w:color w:val="auto"/>
                      <w:sz w:val="21"/>
                      <w:szCs w:val="21"/>
                      <w:lang w:val="en-US" w:eastAsia="zh-CN" w:bidi="ar-SA"/>
                    </w:rPr>
                    <w:t>丙烷气</w:t>
                  </w:r>
                  <w:r>
                    <w:rPr>
                      <w:rFonts w:hint="eastAsia" w:ascii="宋体" w:hAnsi="宋体" w:eastAsia="宋体" w:cs="宋体"/>
                      <w:color w:val="auto"/>
                      <w:sz w:val="21"/>
                      <w:szCs w:val="21"/>
                      <w:lang w:val="en-US" w:eastAsia="zh-CN" w:bidi="ar-SA"/>
                    </w:rPr>
                    <w:t>燃烧废气经布袋除尘后通过15米高排气筒外排</w:t>
                  </w:r>
                  <w:r>
                    <w:rPr>
                      <w:rFonts w:hint="default" w:ascii="宋体" w:hAnsi="宋体" w:eastAsia="宋体" w:cs="宋体"/>
                      <w:color w:val="auto"/>
                      <w:sz w:val="21"/>
                      <w:szCs w:val="21"/>
                      <w:lang w:val="en-US" w:eastAsia="zh-CN" w:bidi="ar-SA"/>
                    </w:rPr>
                    <w:t>。</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FF0000"/>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不属于重大变动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新增废水直接排放口；废水由间接排放改为直接排放；废水直接排放口位置变化，导致不利环境影响加重。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rPr>
                    <w:t>新增废气主要排放口。（废气无组织排放改为有组织排放的除外）；主要排放口排气筒高度降低10%及以上</w:t>
                  </w:r>
                  <w:r>
                    <w:rPr>
                      <w:rFonts w:hint="default" w:ascii="Times New Roman" w:hAnsi="Times New Roman" w:eastAsia="宋体" w:cs="Times New Roman"/>
                      <w:color w:val="auto"/>
                      <w:sz w:val="21"/>
                      <w:szCs w:val="21"/>
                      <w:vertAlign w:val="baseline"/>
                      <w:lang w:eastAsia="zh-CN"/>
                    </w:rPr>
                    <w:t>。</w:t>
                  </w:r>
                </w:p>
              </w:tc>
              <w:tc>
                <w:tcPr>
                  <w:tcW w:w="2284"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雨污管网分流，雨水收集后排入市政雨水管网，</w:t>
                  </w:r>
                  <w:r>
                    <w:rPr>
                      <w:rFonts w:hint="eastAsia" w:ascii="Times New Roman" w:hAnsi="Times New Roman" w:eastAsia="宋体" w:cs="Times New Roman"/>
                      <w:color w:val="auto"/>
                      <w:sz w:val="21"/>
                      <w:szCs w:val="21"/>
                      <w:vertAlign w:val="baseline"/>
                      <w:lang w:val="en-US" w:eastAsia="zh-CN"/>
                    </w:rPr>
                    <w:t>生产废水经三级沉淀池沉淀后回用</w:t>
                  </w:r>
                  <w:r>
                    <w:rPr>
                      <w:rFonts w:hint="default" w:ascii="Times New Roman" w:hAnsi="Times New Roman" w:eastAsia="宋体" w:cs="Times New Roman"/>
                      <w:color w:val="auto"/>
                      <w:sz w:val="21"/>
                      <w:szCs w:val="21"/>
                      <w:vertAlign w:val="baseline"/>
                      <w:lang w:val="en-US" w:eastAsia="zh-CN"/>
                    </w:rPr>
                    <w:t>。生活废水</w:t>
                  </w:r>
                  <w:r>
                    <w:rPr>
                      <w:rFonts w:hint="eastAsia" w:ascii="Times New Roman" w:hAnsi="Times New Roman" w:eastAsia="宋体" w:cs="Times New Roman"/>
                      <w:color w:val="auto"/>
                      <w:sz w:val="21"/>
                      <w:szCs w:val="21"/>
                      <w:vertAlign w:val="baseline"/>
                      <w:lang w:val="en-US" w:eastAsia="zh-CN"/>
                    </w:rPr>
                    <w:t>：近期，经地埋式污水处理装置处理达《污水综合排放标准》（GB8978-1996）一级标准，用于厂区绿化；远期，汪溪殷白拓展区污水处理站及管网建设完成后，经地埋式污水处理装置处理达接管标准，通过污水管网进入殷白污水处理厂。</w:t>
                  </w:r>
                </w:p>
              </w:tc>
              <w:tc>
                <w:tcPr>
                  <w:tcW w:w="2258"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rPr>
                    <w:t>生活</w:t>
                  </w:r>
                  <w:r>
                    <w:rPr>
                      <w:rFonts w:hint="default" w:ascii="Times New Roman" w:hAnsi="Times New Roman" w:eastAsia="宋体" w:cs="Times New Roman"/>
                      <w:color w:val="auto"/>
                      <w:sz w:val="21"/>
                      <w:szCs w:val="21"/>
                    </w:rPr>
                    <w:t>污水经</w:t>
                  </w:r>
                  <w:r>
                    <w:rPr>
                      <w:rFonts w:hint="eastAsia" w:ascii="Times New Roman" w:hAnsi="Times New Roman" w:eastAsia="宋体" w:cs="Times New Roman"/>
                      <w:color w:val="auto"/>
                      <w:sz w:val="21"/>
                      <w:szCs w:val="21"/>
                      <w:lang w:val="en-US" w:eastAsia="zh-CN"/>
                    </w:rPr>
                    <w:t>化粪池预处理后，用于园区</w:t>
                  </w:r>
                  <w:r>
                    <w:rPr>
                      <w:rFonts w:hint="eastAsia" w:ascii="Times New Roman" w:hAnsi="Times New Roman" w:eastAsia="宋体" w:cs="Times New Roman"/>
                      <w:sz w:val="21"/>
                      <w:szCs w:val="21"/>
                      <w:lang w:val="en-US" w:eastAsia="zh-CN"/>
                    </w:rPr>
                    <w:t>绿化浇灌，不外排</w:t>
                  </w:r>
                  <w:r>
                    <w:rPr>
                      <w:rFonts w:hint="default" w:ascii="Times New Roman" w:hAnsi="Times New Roman" w:eastAsia="宋体" w:cs="Times New Roman"/>
                      <w:sz w:val="21"/>
                      <w:szCs w:val="21"/>
                    </w:rPr>
                    <w:t>。</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不属于重</w:t>
                  </w:r>
                  <w:bookmarkStart w:id="1" w:name="_GoBack"/>
                  <w:bookmarkEnd w:id="1"/>
                  <w:r>
                    <w:rPr>
                      <w:rFonts w:hint="eastAsia" w:ascii="Times New Roman" w:hAnsi="Times New Roman" w:eastAsia="宋体" w:cs="Times New Roman"/>
                      <w:color w:val="auto"/>
                      <w:sz w:val="21"/>
                      <w:szCs w:val="21"/>
                      <w:vertAlign w:val="baseline"/>
                      <w:lang w:val="en-US" w:eastAsia="zh-CN"/>
                    </w:rPr>
                    <w:t>大变动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234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噪声、土壤或地下水污染防治措施变化，导致不利环境影响加重。</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rPr>
                    <w:t>固体废物利用处置方式由委托外单位利用处置改为自行利用处置的（自行利用处置设施单独开展环境影响评价的除外）；固体废物自行处置方式变化，导致不利环境影响加重。</w:t>
                  </w:r>
                  <w:r>
                    <w:rPr>
                      <w:rFonts w:hint="default" w:ascii="Times New Roman" w:hAnsi="Times New Roman" w:eastAsia="宋体" w:cs="Times New Roman"/>
                      <w:color w:val="auto"/>
                      <w:sz w:val="21"/>
                      <w:szCs w:val="21"/>
                      <w:vertAlign w:val="baseline"/>
                      <w:lang w:eastAsia="zh-CN"/>
                    </w:rPr>
                    <w:t>事故废水暂存能力或拦截设施变化，导致环境风险防范能力弱化或降低。</w:t>
                  </w:r>
                </w:p>
              </w:tc>
              <w:tc>
                <w:tcPr>
                  <w:tcW w:w="2284" w:type="dxa"/>
                  <w:vAlign w:val="center"/>
                </w:tcPr>
                <w:p>
                  <w:pPr>
                    <w:pStyle w:val="24"/>
                    <w:widowControl w:val="0"/>
                    <w:rPr>
                      <w:rFonts w:hint="eastAsia" w:ascii="宋体" w:hAnsi="宋体" w:eastAsia="宋体" w:cs="宋体"/>
                      <w:color w:val="auto"/>
                      <w:sz w:val="21"/>
                      <w:szCs w:val="21"/>
                      <w:lang w:val="en-US" w:eastAsia="zh-CN" w:bidi="ar-SA"/>
                    </w:rPr>
                  </w:pPr>
                  <w:r>
                    <w:rPr>
                      <w:rFonts w:hint="default" w:cs="宋体"/>
                      <w:color w:val="auto"/>
                      <w:sz w:val="21"/>
                      <w:szCs w:val="21"/>
                      <w:lang w:val="en-US" w:eastAsia="zh-CN" w:bidi="ar-SA"/>
                    </w:rPr>
                    <w:t>边角料收集后外售综合利用；设置垃圾箱。</w:t>
                  </w:r>
                </w:p>
              </w:tc>
              <w:tc>
                <w:tcPr>
                  <w:tcW w:w="2258" w:type="dxa"/>
                  <w:vAlign w:val="center"/>
                </w:tcPr>
                <w:p>
                  <w:pPr>
                    <w:pStyle w:val="24"/>
                    <w:widowControl w:val="0"/>
                    <w:jc w:val="center"/>
                    <w:rPr>
                      <w:rFonts w:hint="default" w:ascii="宋体" w:hAnsi="宋体" w:eastAsia="宋体" w:cs="宋体"/>
                      <w:color w:val="auto"/>
                      <w:sz w:val="21"/>
                      <w:szCs w:val="21"/>
                      <w:lang w:val="en-US" w:eastAsia="zh-CN" w:bidi="ar-SA"/>
                    </w:rPr>
                  </w:pPr>
                  <w:r>
                    <w:rPr>
                      <w:rFonts w:hint="default" w:cs="宋体"/>
                      <w:color w:val="auto"/>
                      <w:sz w:val="21"/>
                      <w:szCs w:val="21"/>
                      <w:lang w:val="en-US" w:eastAsia="zh-CN" w:bidi="ar-SA"/>
                    </w:rPr>
                    <w:t>边角料收集后外售综合利用；</w:t>
                  </w:r>
                  <w:r>
                    <w:rPr>
                      <w:rFonts w:hint="eastAsia" w:cs="宋体"/>
                      <w:color w:val="auto"/>
                      <w:sz w:val="21"/>
                      <w:szCs w:val="21"/>
                      <w:lang w:val="en-US" w:eastAsia="zh-CN" w:bidi="ar-SA"/>
                    </w:rPr>
                    <w:t>危废暂存于危废暂存间，位于1#厂房内</w:t>
                  </w:r>
                  <w:r>
                    <w:rPr>
                      <w:rFonts w:hint="default" w:cs="宋体"/>
                      <w:color w:val="auto"/>
                      <w:sz w:val="21"/>
                      <w:szCs w:val="21"/>
                      <w:lang w:val="en-US" w:eastAsia="zh-CN" w:bidi="ar-SA"/>
                    </w:rPr>
                    <w:t>设置垃圾箱。</w:t>
                  </w:r>
                </w:p>
              </w:tc>
              <w:tc>
                <w:tcPr>
                  <w:tcW w:w="2085"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无变动</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textAlignment w:val="auto"/>
              <w:rPr>
                <w:rFonts w:hint="eastAsia" w:ascii="Times New Roman" w:hAnsi="Times New Roman" w:eastAsia="宋体" w:cs="Times New Roman"/>
                <w:color w:val="auto"/>
                <w:sz w:val="24"/>
                <w:szCs w:val="24"/>
                <w:lang w:val="en-US" w:eastAsia="zh-CN" w:bidi="ar-SA"/>
              </w:rPr>
            </w:pPr>
            <w:r>
              <w:rPr>
                <w:rFonts w:hint="eastAsia" w:ascii="宋体" w:hAnsi="宋体" w:eastAsia="宋体" w:cs="宋体"/>
                <w:b/>
                <w:color w:val="auto"/>
                <w:sz w:val="21"/>
                <w:szCs w:val="21"/>
                <w:lang w:val="en-US" w:eastAsia="zh-CN" w:bidi="ar-SA"/>
              </w:rPr>
              <w:t xml:space="preserve"> </w:t>
            </w:r>
            <w:r>
              <w:rPr>
                <w:rFonts w:hint="eastAsia" w:ascii="Times New Roman" w:hAnsi="Times New Roman" w:eastAsia="宋体" w:cs="Times New Roman"/>
                <w:color w:val="auto"/>
                <w:sz w:val="24"/>
                <w:szCs w:val="24"/>
                <w:lang w:val="en-US" w:eastAsia="zh-CN" w:bidi="ar-SA"/>
              </w:rPr>
              <w:t>对照中华人民共和国生态环境部关于印发《污染影响类建设项目重大变动清单（试行）》的通知（</w:t>
            </w:r>
            <w:r>
              <w:rPr>
                <w:rFonts w:hint="default" w:ascii="Times New Roman" w:hAnsi="Times New Roman" w:eastAsia="宋体" w:cs="Times New Roman"/>
                <w:color w:val="auto"/>
                <w:sz w:val="24"/>
                <w:szCs w:val="24"/>
                <w:lang w:val="en-US" w:eastAsia="zh-CN" w:bidi="ar-SA"/>
              </w:rPr>
              <w:t>环办环评函[2020]688号</w:t>
            </w:r>
            <w:r>
              <w:rPr>
                <w:rFonts w:hint="eastAsia" w:ascii="Times New Roman" w:hAnsi="Times New Roman" w:eastAsia="宋体" w:cs="Times New Roman"/>
                <w:color w:val="auto"/>
                <w:sz w:val="24"/>
                <w:szCs w:val="24"/>
                <w:lang w:val="en-US" w:eastAsia="zh-CN" w:bidi="ar-SA"/>
              </w:rPr>
              <w:t>），本项目无重大变化。</w:t>
            </w:r>
          </w:p>
          <w:p>
            <w:pPr>
              <w:keepNext w:val="0"/>
              <w:keepLines w:val="0"/>
              <w:pageBreakBefore w:val="0"/>
              <w:widowControl w:val="0"/>
              <w:kinsoku/>
              <w:wordWrap/>
              <w:overflowPunct/>
              <w:topLinePunct w:val="0"/>
              <w:autoSpaceDE/>
              <w:autoSpaceDN/>
              <w:bidi w:val="0"/>
              <w:adjustRightInd/>
              <w:snapToGrid/>
              <w:spacing w:after="0" w:line="520" w:lineRule="exact"/>
              <w:ind w:firstLine="482" w:firstLineChars="200"/>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四、原辅材料消耗、主要生产设备、产品方案及水平衡：</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1、原辅材料消耗情况</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jc w:val="center"/>
              <w:textAlignment w:val="auto"/>
              <w:rPr>
                <w:rStyle w:val="23"/>
                <w:rFonts w:cs="Times New Roman"/>
                <w:b/>
                <w:bCs w:val="0"/>
                <w:color w:val="auto"/>
                <w:sz w:val="21"/>
                <w:szCs w:val="21"/>
              </w:rPr>
            </w:pPr>
            <w:r>
              <w:rPr>
                <w:rStyle w:val="23"/>
                <w:rFonts w:cs="Times New Roman"/>
                <w:b/>
                <w:bCs w:val="0"/>
                <w:color w:val="auto"/>
                <w:sz w:val="21"/>
                <w:szCs w:val="21"/>
              </w:rPr>
              <w:t>表</w:t>
            </w:r>
            <w:r>
              <w:rPr>
                <w:rStyle w:val="23"/>
                <w:rFonts w:hint="eastAsia" w:eastAsia="宋体" w:cs="Times New Roman"/>
                <w:b/>
                <w:bCs w:val="0"/>
                <w:color w:val="auto"/>
                <w:sz w:val="21"/>
                <w:szCs w:val="21"/>
                <w:lang w:val="en-US" w:eastAsia="zh-CN"/>
              </w:rPr>
              <w:t xml:space="preserve">4-1  </w:t>
            </w:r>
            <w:r>
              <w:rPr>
                <w:rStyle w:val="23"/>
                <w:rFonts w:cs="Times New Roman"/>
                <w:b/>
                <w:bCs w:val="0"/>
                <w:color w:val="auto"/>
                <w:sz w:val="21"/>
                <w:szCs w:val="21"/>
              </w:rPr>
              <w:t xml:space="preserve"> 项目原辅材料及能源</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187"/>
              <w:gridCol w:w="2187"/>
              <w:gridCol w:w="2188"/>
              <w:gridCol w:w="146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3"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序号</w:t>
                  </w:r>
                </w:p>
              </w:tc>
              <w:tc>
                <w:tcPr>
                  <w:tcW w:w="2187"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名称</w:t>
                  </w:r>
                </w:p>
              </w:tc>
              <w:tc>
                <w:tcPr>
                  <w:tcW w:w="2187"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环评消耗量</w:t>
                  </w:r>
                </w:p>
              </w:tc>
              <w:tc>
                <w:tcPr>
                  <w:tcW w:w="21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实际消耗量</w:t>
                  </w:r>
                </w:p>
              </w:tc>
              <w:tc>
                <w:tcPr>
                  <w:tcW w:w="1462"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b w:val="0"/>
                      <w:bCs w:val="0"/>
                      <w:color w:val="auto"/>
                      <w:sz w:val="21"/>
                      <w:szCs w:val="21"/>
                      <w:lang w:val="en-US" w:eastAsia="zh-CN"/>
                    </w:rPr>
                  </w:pPr>
                  <w:r>
                    <w:rPr>
                      <w:rFonts w:hint="eastAsia" w:cs="宋体"/>
                      <w:b w:val="0"/>
                      <w:bCs w:val="0"/>
                      <w:color w:val="auto"/>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3" w:type="dxa"/>
                  <w:tcBorders>
                    <w:tl2br w:val="nil"/>
                    <w:tr2bl w:val="nil"/>
                  </w:tcBorders>
                  <w:vAlign w:val="bottom"/>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1</w:t>
                  </w:r>
                </w:p>
              </w:tc>
              <w:tc>
                <w:tcPr>
                  <w:tcW w:w="2187" w:type="dxa"/>
                  <w:tcBorders>
                    <w:tl2br w:val="nil"/>
                    <w:tr2bl w:val="nil"/>
                  </w:tcBorders>
                  <w:vAlign w:val="bottom"/>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石材</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b w:val="0"/>
                      <w:bCs w:val="0"/>
                      <w:color w:val="auto"/>
                      <w:sz w:val="21"/>
                      <w:szCs w:val="21"/>
                      <w:lang w:val="en-US" w:eastAsia="zh-CN" w:bidi="ar-SA"/>
                    </w:rPr>
                  </w:pPr>
                  <w:r>
                    <w:rPr>
                      <w:rFonts w:hint="eastAsia" w:ascii="宋体" w:hAnsi="宋体" w:eastAsia="宋体" w:cs="宋体"/>
                      <w:color w:val="auto"/>
                      <w:sz w:val="21"/>
                      <w:szCs w:val="21"/>
                      <w:lang w:val="en-US" w:eastAsia="zh-CN"/>
                    </w:rPr>
                    <w:t>10000</w:t>
                  </w:r>
                  <w:r>
                    <w:rPr>
                      <w:rFonts w:hint="eastAsia" w:ascii="宋体" w:hAnsi="宋体" w:eastAsia="宋体" w:cs="宋体"/>
                      <w:b w:val="0"/>
                      <w:bCs w:val="0"/>
                      <w:color w:val="auto"/>
                      <w:sz w:val="21"/>
                      <w:szCs w:val="21"/>
                      <w:lang w:val="en-US" w:eastAsia="zh-CN"/>
                    </w:rPr>
                    <w:t>t/a</w:t>
                  </w:r>
                </w:p>
              </w:tc>
              <w:tc>
                <w:tcPr>
                  <w:tcW w:w="21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b w:val="0"/>
                      <w:bCs w:val="0"/>
                      <w:color w:val="auto"/>
                      <w:sz w:val="21"/>
                      <w:szCs w:val="21"/>
                      <w:lang w:val="en-US" w:eastAsia="zh-CN" w:bidi="ar-SA"/>
                    </w:rPr>
                  </w:pPr>
                  <w:r>
                    <w:rPr>
                      <w:rFonts w:hint="eastAsia" w:cs="宋体"/>
                      <w:b w:val="0"/>
                      <w:bCs w:val="0"/>
                      <w:color w:val="auto"/>
                      <w:sz w:val="21"/>
                      <w:szCs w:val="21"/>
                      <w:lang w:val="en-US" w:eastAsia="zh-CN" w:bidi="ar-SA"/>
                    </w:rPr>
                    <w:t>7500t/a</w:t>
                  </w:r>
                </w:p>
              </w:tc>
              <w:tc>
                <w:tcPr>
                  <w:tcW w:w="1462" w:type="dxa"/>
                  <w:vMerge w:val="restar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cs="宋体"/>
                      <w:b w:val="0"/>
                      <w:bCs w:val="0"/>
                      <w:color w:val="auto"/>
                      <w:sz w:val="21"/>
                      <w:szCs w:val="21"/>
                      <w:lang w:val="en-US" w:eastAsia="zh-CN" w:bidi="ar-SA"/>
                    </w:rPr>
                  </w:pPr>
                  <w:r>
                    <w:rPr>
                      <w:rFonts w:hint="eastAsia" w:cs="宋体"/>
                      <w:b w:val="0"/>
                      <w:bCs w:val="0"/>
                      <w:color w:val="auto"/>
                      <w:sz w:val="21"/>
                      <w:szCs w:val="21"/>
                      <w:lang w:val="en-US" w:eastAsia="zh-CN" w:bidi="ar-SA"/>
                    </w:rPr>
                    <w:t>原环评使用液化气，现使用丙烷气</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3" w:type="dxa"/>
                  <w:tcBorders>
                    <w:tl2br w:val="nil"/>
                    <w:tr2bl w:val="nil"/>
                  </w:tcBorders>
                  <w:vAlign w:val="bottom"/>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2</w:t>
                  </w:r>
                </w:p>
              </w:tc>
              <w:tc>
                <w:tcPr>
                  <w:tcW w:w="2187" w:type="dxa"/>
                  <w:tcBorders>
                    <w:tl2br w:val="nil"/>
                    <w:tr2bl w:val="nil"/>
                  </w:tcBorders>
                  <w:vAlign w:val="bottom"/>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液化气</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b w:val="0"/>
                      <w:bCs w:val="0"/>
                      <w:color w:val="auto"/>
                      <w:sz w:val="21"/>
                      <w:szCs w:val="21"/>
                      <w:lang w:val="en-US" w:eastAsia="zh-CN" w:bidi="ar-SA"/>
                    </w:rPr>
                  </w:pPr>
                  <w:r>
                    <w:rPr>
                      <w:rFonts w:hint="eastAsia" w:ascii="宋体" w:hAnsi="宋体" w:eastAsia="宋体" w:cs="宋体"/>
                      <w:color w:val="auto"/>
                      <w:sz w:val="21"/>
                      <w:szCs w:val="21"/>
                      <w:lang w:val="en-US" w:eastAsia="zh-CN"/>
                    </w:rPr>
                    <w:t>2t/a</w:t>
                  </w:r>
                </w:p>
              </w:tc>
              <w:tc>
                <w:tcPr>
                  <w:tcW w:w="21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b w:val="0"/>
                      <w:bCs w:val="0"/>
                      <w:color w:val="auto"/>
                      <w:sz w:val="21"/>
                      <w:szCs w:val="21"/>
                      <w:lang w:val="en-US" w:eastAsia="zh-CN" w:bidi="ar-SA"/>
                    </w:rPr>
                  </w:pPr>
                  <w:r>
                    <w:rPr>
                      <w:rFonts w:hint="eastAsia" w:cs="宋体"/>
                      <w:b w:val="0"/>
                      <w:bCs w:val="0"/>
                      <w:color w:val="auto"/>
                      <w:sz w:val="21"/>
                      <w:szCs w:val="21"/>
                      <w:lang w:val="en-US" w:eastAsia="zh-CN" w:bidi="ar-SA"/>
                    </w:rPr>
                    <w:t>0</w:t>
                  </w:r>
                </w:p>
              </w:tc>
              <w:tc>
                <w:tcPr>
                  <w:tcW w:w="1462" w:type="dxa"/>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cs="宋体"/>
                      <w:b w:val="0"/>
                      <w:bCs w:val="0"/>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3" w:type="dxa"/>
                  <w:tcBorders>
                    <w:tl2br w:val="nil"/>
                    <w:tr2bl w:val="nil"/>
                  </w:tcBorders>
                  <w:vAlign w:val="bottom"/>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w:t>
                  </w:r>
                </w:p>
              </w:tc>
              <w:tc>
                <w:tcPr>
                  <w:tcW w:w="2187" w:type="dxa"/>
                  <w:tcBorders>
                    <w:tl2br w:val="nil"/>
                    <w:tr2bl w:val="nil"/>
                  </w:tcBorders>
                  <w:vAlign w:val="bottom"/>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丙烷气</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21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cs="宋体"/>
                      <w:b w:val="0"/>
                      <w:bCs w:val="0"/>
                      <w:color w:val="auto"/>
                      <w:sz w:val="21"/>
                      <w:szCs w:val="21"/>
                      <w:lang w:val="en-US" w:eastAsia="zh-CN" w:bidi="ar-SA"/>
                    </w:rPr>
                  </w:pPr>
                  <w:r>
                    <w:rPr>
                      <w:rFonts w:hint="eastAsia" w:cs="宋体"/>
                      <w:b w:val="0"/>
                      <w:bCs w:val="0"/>
                      <w:color w:val="auto"/>
                      <w:sz w:val="21"/>
                      <w:szCs w:val="21"/>
                      <w:lang w:val="en-US" w:eastAsia="zh-CN" w:bidi="ar-SA"/>
                    </w:rPr>
                    <w:t>2</w:t>
                  </w:r>
                  <w:r>
                    <w:rPr>
                      <w:rFonts w:hint="eastAsia" w:ascii="宋体" w:hAnsi="宋体" w:eastAsia="宋体" w:cs="宋体"/>
                      <w:b w:val="0"/>
                      <w:bCs w:val="0"/>
                      <w:color w:val="auto"/>
                      <w:sz w:val="21"/>
                      <w:szCs w:val="21"/>
                      <w:lang w:val="en-US" w:eastAsia="zh-CN"/>
                    </w:rPr>
                    <w:t>t/a</w:t>
                  </w:r>
                </w:p>
              </w:tc>
              <w:tc>
                <w:tcPr>
                  <w:tcW w:w="1462" w:type="dxa"/>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cs="宋体"/>
                      <w:b w:val="0"/>
                      <w:bCs w:val="0"/>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4</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水</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b w:val="0"/>
                      <w:bCs w:val="0"/>
                      <w:color w:val="auto"/>
                      <w:sz w:val="21"/>
                      <w:szCs w:val="21"/>
                      <w:lang w:val="en-US" w:eastAsia="zh-CN" w:bidi="ar-SA"/>
                    </w:rPr>
                  </w:pPr>
                  <w:r>
                    <w:rPr>
                      <w:rFonts w:hint="eastAsia" w:ascii="宋体" w:hAnsi="宋体" w:eastAsia="宋体" w:cs="宋体"/>
                      <w:color w:val="auto"/>
                      <w:sz w:val="21"/>
                      <w:szCs w:val="21"/>
                      <w:lang w:val="en-US" w:eastAsia="zh-CN"/>
                    </w:rPr>
                    <w:t>1540</w:t>
                  </w:r>
                  <w:r>
                    <w:rPr>
                      <w:rFonts w:hint="eastAsia" w:ascii="宋体" w:hAnsi="宋体" w:eastAsia="宋体" w:cs="宋体"/>
                      <w:b w:val="0"/>
                      <w:bCs w:val="0"/>
                      <w:color w:val="000000"/>
                      <w:kern w:val="0"/>
                      <w:sz w:val="21"/>
                      <w:szCs w:val="21"/>
                      <w:lang w:val="en-US" w:eastAsia="zh-CN" w:bidi="ar"/>
                    </w:rPr>
                    <w:t>m</w:t>
                  </w:r>
                  <w:r>
                    <w:rPr>
                      <w:rFonts w:hint="eastAsia" w:ascii="宋体" w:hAnsi="宋体" w:eastAsia="宋体" w:cs="宋体"/>
                      <w:b w:val="0"/>
                      <w:bCs w:val="0"/>
                      <w:color w:val="000000"/>
                      <w:kern w:val="0"/>
                      <w:sz w:val="21"/>
                      <w:szCs w:val="21"/>
                      <w:vertAlign w:val="superscript"/>
                      <w:lang w:val="en-US" w:eastAsia="zh-CN" w:bidi="ar"/>
                    </w:rPr>
                    <w:t>3</w:t>
                  </w:r>
                  <w:r>
                    <w:rPr>
                      <w:rFonts w:hint="eastAsia" w:ascii="宋体" w:hAnsi="宋体" w:eastAsia="宋体" w:cs="宋体"/>
                      <w:b w:val="0"/>
                      <w:bCs w:val="0"/>
                      <w:color w:val="000000"/>
                      <w:kern w:val="0"/>
                      <w:sz w:val="21"/>
                      <w:szCs w:val="21"/>
                      <w:lang w:val="en-US" w:eastAsia="zh-CN" w:bidi="ar"/>
                    </w:rPr>
                    <w:t>/a</w:t>
                  </w:r>
                </w:p>
              </w:tc>
              <w:tc>
                <w:tcPr>
                  <w:tcW w:w="2188" w:type="dxa"/>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b w:val="0"/>
                      <w:bCs w:val="0"/>
                      <w:color w:val="auto"/>
                      <w:sz w:val="21"/>
                      <w:szCs w:val="21"/>
                      <w:lang w:val="en-US" w:eastAsia="zh-CN" w:bidi="ar-SA"/>
                    </w:rPr>
                  </w:pPr>
                  <w:r>
                    <w:rPr>
                      <w:rFonts w:hint="eastAsia" w:cs="宋体"/>
                      <w:b w:val="0"/>
                      <w:bCs w:val="0"/>
                      <w:color w:val="auto"/>
                      <w:sz w:val="21"/>
                      <w:szCs w:val="21"/>
                      <w:lang w:val="en-US" w:eastAsia="zh-CN" w:bidi="ar-SA"/>
                    </w:rPr>
                    <w:t>1248</w:t>
                  </w:r>
                  <w:r>
                    <w:rPr>
                      <w:rFonts w:hint="eastAsia" w:ascii="宋体" w:hAnsi="宋体" w:eastAsia="宋体" w:cs="宋体"/>
                      <w:b w:val="0"/>
                      <w:bCs w:val="0"/>
                      <w:color w:val="000000"/>
                      <w:kern w:val="0"/>
                      <w:sz w:val="21"/>
                      <w:szCs w:val="21"/>
                      <w:lang w:val="en-US" w:eastAsia="zh-CN" w:bidi="ar"/>
                    </w:rPr>
                    <w:t>m</w:t>
                  </w:r>
                  <w:r>
                    <w:rPr>
                      <w:rFonts w:hint="eastAsia" w:ascii="宋体" w:hAnsi="宋体" w:eastAsia="宋体" w:cs="宋体"/>
                      <w:b w:val="0"/>
                      <w:bCs w:val="0"/>
                      <w:color w:val="000000"/>
                      <w:kern w:val="0"/>
                      <w:sz w:val="21"/>
                      <w:szCs w:val="21"/>
                      <w:vertAlign w:val="superscript"/>
                      <w:lang w:val="en-US" w:eastAsia="zh-CN" w:bidi="ar"/>
                    </w:rPr>
                    <w:t>3</w:t>
                  </w:r>
                  <w:r>
                    <w:rPr>
                      <w:rFonts w:hint="eastAsia" w:ascii="宋体" w:hAnsi="宋体" w:eastAsia="宋体" w:cs="宋体"/>
                      <w:b w:val="0"/>
                      <w:bCs w:val="0"/>
                      <w:color w:val="000000"/>
                      <w:kern w:val="0"/>
                      <w:sz w:val="21"/>
                      <w:szCs w:val="21"/>
                      <w:lang w:val="en-US" w:eastAsia="zh-CN" w:bidi="ar"/>
                    </w:rPr>
                    <w:t>/a</w:t>
                  </w:r>
                </w:p>
              </w:tc>
              <w:tc>
                <w:tcPr>
                  <w:tcW w:w="1462" w:type="dxa"/>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cs="宋体"/>
                      <w:b w:val="0"/>
                      <w:bCs w:val="0"/>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5</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电</w:t>
                  </w:r>
                </w:p>
              </w:tc>
              <w:tc>
                <w:tcPr>
                  <w:tcW w:w="218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25万 kwh/a</w:t>
                  </w:r>
                </w:p>
              </w:tc>
              <w:tc>
                <w:tcPr>
                  <w:tcW w:w="21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20万 kwh/a</w:t>
                  </w:r>
                </w:p>
              </w:tc>
              <w:tc>
                <w:tcPr>
                  <w:tcW w:w="146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b w:val="0"/>
                      <w:bCs w:val="0"/>
                      <w:color w:val="auto"/>
                      <w:sz w:val="21"/>
                      <w:szCs w:val="21"/>
                      <w:lang w:val="en-US" w:eastAsia="zh-CN"/>
                    </w:rPr>
                  </w:pPr>
                </w:p>
              </w:tc>
            </w:tr>
          </w:tbl>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 xml:space="preserve"> </w:t>
            </w: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eastAsia" w:ascii="Times New Roman" w:hAnsi="Times New Roman" w:eastAsia="宋体"/>
                <w:sz w:val="21"/>
                <w:szCs w:val="21"/>
                <w:lang w:val="en-US" w:eastAsia="zh-CN"/>
              </w:rPr>
            </w:pPr>
          </w:p>
          <w:p>
            <w:pPr>
              <w:spacing w:line="360" w:lineRule="exact"/>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5" w:hRule="atLeast"/>
          <w:jc w:val="center"/>
        </w:trPr>
        <w:tc>
          <w:tcPr>
            <w:tcW w:w="5000" w:type="pct"/>
            <w:gridSpan w:val="7"/>
            <w:vAlign w:val="center"/>
          </w:tcPr>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Style w:val="23"/>
                <w:rFonts w:cs="Times New Roman"/>
                <w:b w:val="0"/>
                <w:bCs/>
                <w:color w:val="auto"/>
                <w:szCs w:val="24"/>
              </w:rPr>
            </w:pPr>
            <w:r>
              <w:rPr>
                <w:rStyle w:val="23"/>
                <w:rFonts w:cs="Times New Roman"/>
                <w:b w:val="0"/>
                <w:bCs/>
                <w:color w:val="auto"/>
                <w:szCs w:val="24"/>
              </w:rPr>
              <w:t>2、主要生产设备</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jc w:val="center"/>
              <w:textAlignment w:val="auto"/>
              <w:rPr>
                <w:rStyle w:val="23"/>
                <w:rFonts w:cs="Times New Roman"/>
                <w:b/>
                <w:bCs w:val="0"/>
                <w:color w:val="auto"/>
                <w:sz w:val="21"/>
                <w:szCs w:val="21"/>
              </w:rPr>
            </w:pPr>
            <w:r>
              <w:rPr>
                <w:rStyle w:val="23"/>
                <w:rFonts w:cs="Times New Roman"/>
                <w:b/>
                <w:bCs w:val="0"/>
                <w:color w:val="auto"/>
                <w:sz w:val="21"/>
                <w:szCs w:val="21"/>
              </w:rPr>
              <w:t>表</w:t>
            </w:r>
            <w:r>
              <w:rPr>
                <w:rStyle w:val="23"/>
                <w:rFonts w:hint="eastAsia" w:eastAsia="宋体" w:cs="Times New Roman"/>
                <w:b/>
                <w:bCs w:val="0"/>
                <w:color w:val="auto"/>
                <w:sz w:val="21"/>
                <w:szCs w:val="21"/>
                <w:lang w:val="en-US" w:eastAsia="zh-CN"/>
              </w:rPr>
              <w:t xml:space="preserve">4-2    </w:t>
            </w:r>
            <w:r>
              <w:rPr>
                <w:rStyle w:val="23"/>
                <w:rFonts w:cs="Times New Roman"/>
                <w:b/>
                <w:bCs w:val="0"/>
                <w:color w:val="auto"/>
                <w:sz w:val="21"/>
                <w:szCs w:val="21"/>
              </w:rPr>
              <w:t>项目主要生产设备一览表</w:t>
            </w:r>
          </w:p>
          <w:tbl>
            <w:tblPr>
              <w:tblStyle w:val="17"/>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49"/>
              <w:gridCol w:w="2376"/>
              <w:gridCol w:w="1465"/>
              <w:gridCol w:w="2286"/>
              <w:gridCol w:w="1144"/>
              <w:gridCol w:w="11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设备名称</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规格</w:t>
                  </w:r>
                  <w:r>
                    <w:rPr>
                      <w:rFonts w:hint="eastAsia" w:ascii="宋体" w:hAnsi="宋体" w:eastAsia="宋体" w:cs="宋体"/>
                      <w:color w:val="auto"/>
                      <w:sz w:val="21"/>
                      <w:szCs w:val="21"/>
                    </w:rPr>
                    <w:t>型号</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环评数量（台）</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实际数量（台）</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1</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切石机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DZQ-1650</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3</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3</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2</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eastAsia="zh-CN"/>
                    </w:rPr>
                    <w:t>切石机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LZS-600</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4</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2</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3</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磨光机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ZXB-300</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1</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4</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火烧机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200</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2</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1</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5</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破碎机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0</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6</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小型切割机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10</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0</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7</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小型</w:t>
                  </w:r>
                  <w:r>
                    <w:rPr>
                      <w:rFonts w:hint="eastAsia" w:ascii="宋体" w:hAnsi="宋体" w:eastAsia="宋体" w:cs="宋体"/>
                      <w:color w:val="auto"/>
                      <w:sz w:val="21"/>
                      <w:szCs w:val="21"/>
                      <w:lang w:eastAsia="zh-CN"/>
                    </w:rPr>
                    <w:t>磨机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5</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0</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0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8</w:t>
                  </w:r>
                </w:p>
              </w:tc>
              <w:tc>
                <w:tcPr>
                  <w:tcW w:w="132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手持打磨机</w:t>
                  </w:r>
                </w:p>
              </w:tc>
              <w:tc>
                <w:tcPr>
                  <w:tcW w:w="816"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w:t>
                  </w:r>
                </w:p>
              </w:tc>
              <w:tc>
                <w:tcPr>
                  <w:tcW w:w="1275"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20</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0</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val="en-US" w:eastAsia="zh-CN" w:bidi="ar"/>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448" w:type="pct"/>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合计</w:t>
                  </w:r>
                </w:p>
              </w:tc>
              <w:tc>
                <w:tcPr>
                  <w:tcW w:w="127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46</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7</w:t>
                  </w:r>
                </w:p>
              </w:tc>
              <w:tc>
                <w:tcPr>
                  <w:tcW w:w="638"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宋体" w:hAnsi="宋体" w:eastAsia="宋体" w:cs="宋体"/>
                      <w:color w:val="auto"/>
                      <w:sz w:val="21"/>
                      <w:szCs w:val="21"/>
                      <w:lang w:val="en-US" w:eastAsia="zh-CN" w:bidi="ar"/>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line="520" w:lineRule="exact"/>
              <w:ind w:left="119" w:leftChars="0" w:firstLine="480" w:firstLineChars="200"/>
              <w:jc w:val="both"/>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 xml:space="preserve">产品方案 </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olor w:val="auto"/>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line="520" w:lineRule="exact"/>
              <w:jc w:val="center"/>
              <w:textAlignment w:val="auto"/>
              <w:rPr>
                <w:rStyle w:val="23"/>
                <w:rFonts w:hint="eastAsia" w:ascii="Times New Roman" w:hAnsi="Times New Roman" w:eastAsia="宋体" w:cs="Times New Roman"/>
                <w:b/>
                <w:bCs w:val="0"/>
                <w:strike w:val="0"/>
                <w:dstrike w:val="0"/>
                <w:color w:val="auto"/>
                <w:sz w:val="21"/>
                <w:szCs w:val="21"/>
                <w:lang w:val="en-US" w:eastAsia="zh-CN"/>
              </w:rPr>
            </w:pPr>
            <w:r>
              <w:rPr>
                <w:rStyle w:val="23"/>
                <w:rFonts w:hint="default" w:ascii="Times New Roman" w:hAnsi="Times New Roman" w:eastAsia="宋体" w:cs="Times New Roman"/>
                <w:b/>
                <w:bCs w:val="0"/>
                <w:strike w:val="0"/>
                <w:dstrike w:val="0"/>
                <w:color w:val="auto"/>
                <w:sz w:val="21"/>
                <w:szCs w:val="21"/>
                <w:lang w:eastAsia="zh-CN"/>
              </w:rPr>
              <w:t>表</w:t>
            </w:r>
            <w:r>
              <w:rPr>
                <w:rStyle w:val="23"/>
                <w:rFonts w:hint="eastAsia" w:ascii="Times New Roman" w:hAnsi="Times New Roman" w:eastAsia="宋体" w:cs="Times New Roman"/>
                <w:b/>
                <w:bCs w:val="0"/>
                <w:strike w:val="0"/>
                <w:dstrike w:val="0"/>
                <w:color w:val="auto"/>
                <w:sz w:val="21"/>
                <w:szCs w:val="21"/>
                <w:lang w:val="en-US" w:eastAsia="zh-CN"/>
              </w:rPr>
              <w:t xml:space="preserve">4-3  </w:t>
            </w:r>
            <w:r>
              <w:rPr>
                <w:rStyle w:val="23"/>
                <w:rFonts w:hint="default" w:ascii="Times New Roman" w:hAnsi="Times New Roman" w:eastAsia="宋体" w:cs="Times New Roman"/>
                <w:b/>
                <w:bCs w:val="0"/>
                <w:strike w:val="0"/>
                <w:dstrike w:val="0"/>
                <w:color w:val="auto"/>
                <w:sz w:val="21"/>
                <w:szCs w:val="21"/>
              </w:rPr>
              <w:t xml:space="preserve"> </w:t>
            </w:r>
            <w:r>
              <w:rPr>
                <w:rStyle w:val="23"/>
                <w:rFonts w:hint="eastAsia" w:ascii="Times New Roman" w:hAnsi="Times New Roman" w:eastAsia="宋体" w:cs="Times New Roman"/>
                <w:b/>
                <w:bCs w:val="0"/>
                <w:strike w:val="0"/>
                <w:dstrike w:val="0"/>
                <w:color w:val="auto"/>
                <w:sz w:val="21"/>
                <w:szCs w:val="21"/>
                <w:lang w:val="en-US" w:eastAsia="zh-CN"/>
              </w:rPr>
              <w:t xml:space="preserve">  产品方案</w:t>
            </w:r>
          </w:p>
          <w:tbl>
            <w:tblPr>
              <w:tblStyle w:val="17"/>
              <w:tblW w:w="494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2834"/>
              <w:gridCol w:w="2699"/>
              <w:gridCol w:w="86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0"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1599"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rPr>
                  </w:pPr>
                  <w:r>
                    <w:rPr>
                      <w:rFonts w:hint="eastAsia" w:ascii="宋体" w:hAnsi="宋体" w:eastAsia="宋体" w:cs="宋体"/>
                      <w:strike w:val="0"/>
                      <w:dstrike w:val="0"/>
                      <w:color w:val="auto"/>
                      <w:sz w:val="21"/>
                      <w:szCs w:val="21"/>
                      <w:lang w:val="en-US" w:eastAsia="zh-CN"/>
                    </w:rPr>
                    <w:t>环评生产能力</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t/a</w:t>
                  </w:r>
                  <w:r>
                    <w:rPr>
                      <w:rFonts w:hint="eastAsia" w:ascii="宋体" w:hAnsi="宋体" w:eastAsia="宋体" w:cs="宋体"/>
                      <w:color w:val="auto"/>
                      <w:sz w:val="21"/>
                      <w:szCs w:val="21"/>
                    </w:rPr>
                    <w:t>）</w:t>
                  </w:r>
                </w:p>
              </w:tc>
              <w:tc>
                <w:tcPr>
                  <w:tcW w:w="1523"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strike w:val="0"/>
                      <w:dstrike w:val="0"/>
                      <w:color w:val="auto"/>
                      <w:sz w:val="21"/>
                      <w:szCs w:val="21"/>
                      <w:lang w:val="en-US" w:eastAsia="zh-CN"/>
                    </w:rPr>
                  </w:pPr>
                  <w:r>
                    <w:rPr>
                      <w:rFonts w:hint="eastAsia" w:ascii="宋体" w:hAnsi="宋体" w:eastAsia="宋体" w:cs="宋体"/>
                      <w:strike w:val="0"/>
                      <w:dstrike w:val="0"/>
                      <w:color w:val="auto"/>
                      <w:sz w:val="21"/>
                      <w:szCs w:val="21"/>
                      <w:lang w:val="en-US" w:eastAsia="zh-CN"/>
                    </w:rPr>
                    <w:t>实际生产能力</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t/a</w:t>
                  </w:r>
                  <w:r>
                    <w:rPr>
                      <w:rFonts w:hint="eastAsia" w:ascii="宋体" w:hAnsi="宋体" w:eastAsia="宋体" w:cs="宋体"/>
                      <w:color w:val="auto"/>
                      <w:sz w:val="21"/>
                      <w:szCs w:val="21"/>
                    </w:rPr>
                    <w:t>）</w:t>
                  </w:r>
                </w:p>
              </w:tc>
              <w:tc>
                <w:tcPr>
                  <w:tcW w:w="48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bCs/>
                      <w:color w:val="auto"/>
                      <w:sz w:val="21"/>
                      <w:szCs w:val="21"/>
                      <w:lang w:val="en-US" w:eastAsia="zh-CN"/>
                    </w:rPr>
                    <w:t>毛板</w:t>
                  </w:r>
                </w:p>
              </w:tc>
              <w:tc>
                <w:tcPr>
                  <w:tcW w:w="15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5000</w:t>
                  </w:r>
                </w:p>
              </w:tc>
              <w:tc>
                <w:tcPr>
                  <w:tcW w:w="1523"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5000</w:t>
                  </w:r>
                </w:p>
              </w:tc>
              <w:tc>
                <w:tcPr>
                  <w:tcW w:w="487" w:type="pct"/>
                  <w:vMerge w:val="restar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bCs/>
                      <w:color w:val="auto"/>
                      <w:sz w:val="21"/>
                      <w:szCs w:val="21"/>
                      <w:lang w:val="en-US" w:eastAsia="zh-CN"/>
                    </w:rPr>
                    <w:t>抛光板</w:t>
                  </w:r>
                </w:p>
              </w:tc>
              <w:tc>
                <w:tcPr>
                  <w:tcW w:w="15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2000</w:t>
                  </w:r>
                </w:p>
              </w:tc>
              <w:tc>
                <w:tcPr>
                  <w:tcW w:w="1523"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487" w:type="pct"/>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bCs/>
                      <w:color w:val="auto"/>
                      <w:sz w:val="21"/>
                      <w:szCs w:val="21"/>
                      <w:lang w:val="en-US" w:eastAsia="zh-CN"/>
                    </w:rPr>
                    <w:t>火烧板</w:t>
                  </w:r>
                </w:p>
              </w:tc>
              <w:tc>
                <w:tcPr>
                  <w:tcW w:w="1599"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1000</w:t>
                  </w:r>
                </w:p>
              </w:tc>
              <w:tc>
                <w:tcPr>
                  <w:tcW w:w="1523"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ind w:firstLine="0" w:firstLineChars="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1000</w:t>
                  </w:r>
                </w:p>
              </w:tc>
              <w:tc>
                <w:tcPr>
                  <w:tcW w:w="487" w:type="pct"/>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0"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15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8000</w:t>
                  </w:r>
                </w:p>
              </w:tc>
              <w:tc>
                <w:tcPr>
                  <w:tcW w:w="1523"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6000</w:t>
                  </w:r>
                </w:p>
              </w:tc>
              <w:tc>
                <w:tcPr>
                  <w:tcW w:w="487" w:type="pct"/>
                  <w:vMerge w:val="continue"/>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p>
              </w:tc>
            </w:tr>
          </w:tbl>
          <w:p>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left="400" w:leftChars="0" w:firstLine="480" w:firstLineChars="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项目水平衡</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220" w:leftChars="100" w:firstLine="220" w:firstLineChars="100"/>
              <w:jc w:val="center"/>
              <w:textAlignment w:val="auto"/>
              <w:rPr>
                <w:color w:val="auto"/>
                <w:sz w:val="21"/>
                <w:szCs w:val="21"/>
              </w:rPr>
            </w:pPr>
            <w:r>
              <w:drawing>
                <wp:anchor distT="0" distB="0" distL="114300" distR="114300" simplePos="0" relativeHeight="251660288" behindDoc="0" locked="0" layoutInCell="1" allowOverlap="1">
                  <wp:simplePos x="0" y="0"/>
                  <wp:positionH relativeFrom="column">
                    <wp:posOffset>790575</wp:posOffset>
                  </wp:positionH>
                  <wp:positionV relativeFrom="page">
                    <wp:posOffset>5793105</wp:posOffset>
                  </wp:positionV>
                  <wp:extent cx="4684395" cy="2713990"/>
                  <wp:effectExtent l="0" t="0" r="1905" b="10160"/>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4684395" cy="2713990"/>
                          </a:xfrm>
                          <a:prstGeom prst="rect">
                            <a:avLst/>
                          </a:prstGeom>
                          <a:noFill/>
                          <a:ln>
                            <a:noFill/>
                          </a:ln>
                        </pic:spPr>
                      </pic:pic>
                    </a:graphicData>
                  </a:graphic>
                </wp:anchor>
              </w:drawing>
            </w:r>
            <w:r>
              <w:rPr>
                <w:rFonts w:hint="eastAsia" w:ascii="宋体" w:hAnsi="宋体" w:eastAsia="宋体" w:cs="宋体"/>
                <w:color w:val="000000"/>
                <w:kern w:val="0"/>
                <w:sz w:val="24"/>
                <w:szCs w:val="24"/>
                <w:lang w:val="en-US" w:eastAsia="zh-CN" w:bidi="ar"/>
              </w:rPr>
              <w:t xml:space="preserve">本项目用水按来源可分为生产用水、清洁用水水及生活用水。                  </w:t>
            </w: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建设项目总水量平衡图（t/d）</w:t>
            </w:r>
          </w:p>
          <w:p>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五、</w:t>
            </w:r>
            <w:r>
              <w:rPr>
                <w:rFonts w:hint="eastAsia" w:ascii="宋体" w:hAnsi="宋体" w:eastAsia="宋体" w:cs="宋体"/>
                <w:b/>
                <w:bCs/>
                <w:color w:val="auto"/>
                <w:sz w:val="24"/>
                <w:szCs w:val="24"/>
              </w:rPr>
              <w:t>主要工艺流程及产物环节</w:t>
            </w:r>
          </w:p>
          <w:p>
            <w:pPr>
              <w:pStyle w:val="15"/>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20" w:lineRule="exact"/>
              <w:ind w:firstLine="480" w:firstLineChars="200"/>
              <w:textAlignment w:val="auto"/>
              <w:rPr>
                <w:rFonts w:hint="default" w:ascii="宋体" w:hAnsi="宋体" w:eastAsia="宋体" w:cs="宋体"/>
                <w:color w:val="auto"/>
                <w:kern w:val="0"/>
                <w:sz w:val="24"/>
                <w:szCs w:val="24"/>
                <w:lang w:val="en-US" w:eastAsia="zh-CN" w:bidi="ar-SA"/>
              </w:rPr>
            </w:pPr>
            <w:r>
              <w:rPr>
                <w:rFonts w:hint="default" w:ascii="宋体" w:hAnsi="宋体" w:eastAsia="宋体" w:cs="宋体"/>
                <w:color w:val="auto"/>
                <w:kern w:val="0"/>
                <w:sz w:val="24"/>
                <w:szCs w:val="24"/>
                <w:lang w:val="en-US" w:eastAsia="zh-CN" w:bidi="ar-SA"/>
              </w:rPr>
              <w:t>1、</w:t>
            </w:r>
            <w:r>
              <w:rPr>
                <w:rFonts w:hint="eastAsia" w:ascii="宋体" w:hAnsi="宋体" w:eastAsia="宋体" w:cs="宋体"/>
                <w:color w:val="auto"/>
                <w:kern w:val="0"/>
                <w:sz w:val="24"/>
                <w:szCs w:val="24"/>
                <w:lang w:val="en-US" w:eastAsia="zh-CN" w:bidi="ar-SA"/>
              </w:rPr>
              <w:t>生产线工艺</w:t>
            </w:r>
            <w:r>
              <w:rPr>
                <w:rFonts w:hint="default" w:ascii="宋体" w:hAnsi="宋体" w:eastAsia="宋体" w:cs="宋体"/>
                <w:color w:val="auto"/>
                <w:kern w:val="0"/>
                <w:sz w:val="24"/>
                <w:szCs w:val="24"/>
                <w:lang w:val="en-US" w:eastAsia="zh-CN" w:bidi="ar-SA"/>
              </w:rPr>
              <w:t>流程</w:t>
            </w:r>
            <w:r>
              <w:rPr>
                <w:rFonts w:hint="eastAsia" w:eastAsia="宋体" w:cs="宋体"/>
                <w:color w:val="auto"/>
                <w:kern w:val="0"/>
                <w:sz w:val="24"/>
                <w:szCs w:val="24"/>
                <w:lang w:val="en-US" w:eastAsia="zh-CN" w:bidi="ar-SA"/>
              </w:rPr>
              <w:t>图如下：</w:t>
            </w:r>
          </w:p>
          <w:p>
            <w:pPr>
              <w:pStyle w:val="2"/>
              <w:jc w:val="center"/>
              <w:rPr>
                <w:rFonts w:hint="default" w:ascii="Times New Roman" w:hAnsi="Times New Roman" w:eastAsia="宋体" w:cs="Times New Roman"/>
                <w:b/>
                <w:bCs/>
                <w:color w:val="FF0000"/>
                <w:sz w:val="24"/>
                <w:lang w:eastAsia="zh-CN"/>
              </w:rPr>
            </w:pPr>
            <w:r>
              <w:drawing>
                <wp:inline distT="0" distB="0" distL="114300" distR="114300">
                  <wp:extent cx="4876800" cy="66865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a:stretch>
                            <a:fillRect/>
                          </a:stretch>
                        </pic:blipFill>
                        <pic:spPr>
                          <a:xfrm>
                            <a:off x="0" y="0"/>
                            <a:ext cx="4876800" cy="6686550"/>
                          </a:xfrm>
                          <a:prstGeom prst="rect">
                            <a:avLst/>
                          </a:prstGeom>
                          <a:noFill/>
                          <a:ln>
                            <a:noFill/>
                          </a:ln>
                        </pic:spPr>
                      </pic:pic>
                    </a:graphicData>
                  </a:graphic>
                </wp:inline>
              </w:drawing>
            </w:r>
          </w:p>
          <w:p>
            <w:pPr>
              <w:spacing w:after="0" w:line="36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图</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eastAsia="zh-CN"/>
              </w:rPr>
              <w:t>生产线工艺流程及产污节点图</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工艺流程描述：</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left="180" w:leftChars="0" w:firstLine="48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切割：</w:t>
            </w:r>
            <w:r>
              <w:rPr>
                <w:rFonts w:hint="eastAsia" w:ascii="宋体" w:hAnsi="宋体" w:eastAsia="宋体" w:cs="宋体"/>
                <w:color w:val="auto"/>
                <w:sz w:val="24"/>
                <w:szCs w:val="24"/>
                <w:lang w:val="en-US" w:eastAsia="zh-CN"/>
              </w:rPr>
              <w:t>将用汽车运输进原料厂的大块石材荒料通过大型切割机进行切片，该工序为湿法作业，切割过程会加入水</w:t>
            </w:r>
            <w:r>
              <w:rPr>
                <w:rFonts w:hint="eastAsia" w:ascii="宋体" w:hAnsi="宋体" w:eastAsia="宋体" w:cs="宋体"/>
                <w:color w:val="auto"/>
                <w:sz w:val="24"/>
                <w:szCs w:val="24"/>
                <w:lang w:eastAsia="zh-CN"/>
              </w:rPr>
              <w:t>，一方面是为了减少粉尘，另一</w:t>
            </w:r>
            <w:r>
              <w:rPr>
                <w:rFonts w:hint="eastAsia" w:ascii="宋体" w:hAnsi="宋体" w:eastAsia="宋体" w:cs="宋体"/>
                <w:color w:val="auto"/>
                <w:sz w:val="24"/>
                <w:szCs w:val="24"/>
                <w:lang w:val="en-US" w:eastAsia="zh-CN"/>
              </w:rPr>
              <w:t>方面</w:t>
            </w:r>
            <w:r>
              <w:rPr>
                <w:rFonts w:hint="eastAsia" w:ascii="宋体" w:hAnsi="宋体" w:eastAsia="宋体" w:cs="宋体"/>
                <w:color w:val="auto"/>
                <w:sz w:val="24"/>
                <w:szCs w:val="24"/>
                <w:lang w:eastAsia="zh-CN"/>
              </w:rPr>
              <w:t>是为了减少刀片损耗。切割用水通过管道流入沉淀池，多级沉淀后回用至生产中。</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left="180" w:leftChars="0" w:firstLine="480" w:firstLineChars="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打磨</w:t>
            </w:r>
            <w:r>
              <w:rPr>
                <w:rFonts w:hint="eastAsia" w:ascii="宋体" w:hAnsi="宋体" w:eastAsia="宋体" w:cs="宋体"/>
                <w:color w:val="auto"/>
                <w:sz w:val="24"/>
                <w:szCs w:val="24"/>
                <w:lang w:val="en-US" w:eastAsia="zh-CN"/>
              </w:rPr>
              <w:t>修边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本</w:t>
            </w:r>
            <w:r>
              <w:rPr>
                <w:rFonts w:hint="eastAsia" w:ascii="宋体" w:hAnsi="宋体" w:eastAsia="宋体" w:cs="宋体"/>
                <w:color w:val="auto"/>
                <w:sz w:val="24"/>
                <w:szCs w:val="24"/>
                <w:lang w:eastAsia="zh-CN"/>
              </w:rPr>
              <w:t>是在初步加工的石料基础上，使用</w:t>
            </w:r>
            <w:r>
              <w:rPr>
                <w:rFonts w:hint="eastAsia" w:ascii="宋体" w:hAnsi="宋体" w:eastAsia="宋体" w:cs="宋体"/>
                <w:color w:val="auto"/>
                <w:sz w:val="24"/>
                <w:szCs w:val="24"/>
                <w:lang w:val="en-US" w:eastAsia="zh-CN"/>
              </w:rPr>
              <w:t>手持</w:t>
            </w:r>
            <w:r>
              <w:rPr>
                <w:rFonts w:hint="eastAsia" w:ascii="宋体" w:hAnsi="宋体" w:eastAsia="宋体" w:cs="宋体"/>
                <w:color w:val="auto"/>
                <w:sz w:val="24"/>
                <w:szCs w:val="24"/>
                <w:lang w:eastAsia="zh-CN"/>
              </w:rPr>
              <w:t>工具进行</w:t>
            </w:r>
            <w:r>
              <w:rPr>
                <w:rFonts w:hint="eastAsia" w:ascii="宋体" w:hAnsi="宋体" w:eastAsia="宋体" w:cs="宋体"/>
                <w:color w:val="auto"/>
                <w:sz w:val="24"/>
                <w:szCs w:val="24"/>
                <w:lang w:val="en-US" w:eastAsia="zh-CN"/>
              </w:rPr>
              <w:t>简单</w:t>
            </w:r>
            <w:r>
              <w:rPr>
                <w:rFonts w:hint="eastAsia" w:ascii="宋体" w:hAnsi="宋体" w:eastAsia="宋体" w:cs="宋体"/>
                <w:color w:val="auto"/>
                <w:sz w:val="24"/>
                <w:szCs w:val="24"/>
                <w:lang w:eastAsia="zh-CN"/>
              </w:rPr>
              <w:t>打磨，</w:t>
            </w:r>
            <w:r>
              <w:rPr>
                <w:rFonts w:hint="eastAsia" w:ascii="宋体" w:hAnsi="宋体" w:eastAsia="宋体" w:cs="宋体"/>
                <w:color w:val="auto"/>
                <w:sz w:val="24"/>
                <w:szCs w:val="24"/>
                <w:lang w:val="en-US" w:eastAsia="zh-CN"/>
              </w:rPr>
              <w:t>对不规则边缘进行切割修边，经过简单打磨修边后即得毛板，一部分毛板直接入库销售，一部分按照客户要求在加工成抛光板或火烧板。该工序均为</w:t>
            </w:r>
            <w:r>
              <w:rPr>
                <w:rFonts w:hint="eastAsia" w:ascii="宋体" w:hAnsi="宋体" w:eastAsia="宋体" w:cs="宋体"/>
                <w:color w:val="auto"/>
                <w:sz w:val="24"/>
                <w:szCs w:val="24"/>
                <w:lang w:eastAsia="zh-CN"/>
              </w:rPr>
              <w:t>人工干法作业，</w:t>
            </w:r>
            <w:r>
              <w:rPr>
                <w:rFonts w:hint="eastAsia" w:ascii="宋体" w:hAnsi="宋体" w:eastAsia="宋体" w:cs="宋体"/>
                <w:color w:val="auto"/>
                <w:sz w:val="24"/>
                <w:szCs w:val="24"/>
                <w:lang w:val="en-US" w:eastAsia="zh-CN"/>
              </w:rPr>
              <w:t>会产生粉尘</w:t>
            </w:r>
            <w:r>
              <w:rPr>
                <w:rFonts w:hint="eastAsia" w:ascii="宋体" w:hAnsi="宋体" w:eastAsia="宋体" w:cs="宋体"/>
                <w:color w:val="auto"/>
                <w:sz w:val="24"/>
                <w:szCs w:val="24"/>
                <w:lang w:eastAsia="zh-CN"/>
              </w:rPr>
              <w:t>。</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left="180" w:leftChars="0" w:firstLine="480" w:firstLineChars="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火烧：毛板在火烧机中经高温加热至毛板表面晶体爆裂，火焰喷烧采用液化石油气喷枪，毛板在火烧机滚动连轴架上匀速移动，移动速度为每秒120~250毫米，火焰喷枪对毛板表面进行火焰喷烧，喷枪口与板面的距离为20~40毫米，并互相成倾角，火焰温度为800~1000℃，在火焰喷烧过程中，由于毛板表面受热不均膨胀不同，毛板会脱落0.5~1.0毫米的表面层，而形成象荔枝面一样的表面。通过该方法加工的石材显露石质本色，具有古朴、粗犷、自然感强的特色，同时具有防滑功能。火烧板生产过程中会产生少量液化气燃烧废气，主要污染因子为颗粒物、SO</w:t>
            </w:r>
            <w:r>
              <w:rPr>
                <w:rFonts w:hint="eastAsia" w:ascii="宋体" w:hAnsi="宋体" w:eastAsia="宋体" w:cs="宋体"/>
                <w:color w:val="auto"/>
                <w:sz w:val="24"/>
                <w:szCs w:val="24"/>
                <w:vertAlign w:val="subscript"/>
                <w:lang w:val="en-US" w:eastAsia="zh-CN"/>
              </w:rPr>
              <w:t>2</w:t>
            </w:r>
            <w:r>
              <w:rPr>
                <w:rFonts w:hint="eastAsia" w:ascii="宋体" w:hAnsi="宋体" w:eastAsia="宋体" w:cs="宋体"/>
                <w:color w:val="auto"/>
                <w:sz w:val="24"/>
                <w:szCs w:val="24"/>
                <w:lang w:val="en-US" w:eastAsia="zh-CN"/>
              </w:rPr>
              <w:t>、NOx。</w:t>
            </w:r>
          </w:p>
          <w:p>
            <w:pPr>
              <w:pStyle w:val="2"/>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宋体" w:hAnsi="宋体" w:eastAsia="宋体" w:cs="宋体"/>
                <w:b/>
                <w:bCs/>
                <w:sz w:val="21"/>
                <w:szCs w:val="21"/>
                <w:lang w:val="en-US" w:eastAsia="zh-CN"/>
              </w:rPr>
            </w:pPr>
            <w:r>
              <w:rPr>
                <w:b/>
                <w:bCs/>
                <w:sz w:val="21"/>
                <w:szCs w:val="21"/>
              </w:rPr>
              <w:drawing>
                <wp:anchor distT="0" distB="0" distL="114300" distR="114300" simplePos="0" relativeHeight="251662336" behindDoc="0" locked="0" layoutInCell="1" allowOverlap="1">
                  <wp:simplePos x="0" y="0"/>
                  <wp:positionH relativeFrom="column">
                    <wp:posOffset>55880</wp:posOffset>
                  </wp:positionH>
                  <wp:positionV relativeFrom="paragraph">
                    <wp:posOffset>12065</wp:posOffset>
                  </wp:positionV>
                  <wp:extent cx="5700395" cy="2214880"/>
                  <wp:effectExtent l="0" t="0" r="14605" b="1397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700395" cy="2214880"/>
                          </a:xfrm>
                          <a:prstGeom prst="rect">
                            <a:avLst/>
                          </a:prstGeom>
                          <a:noFill/>
                          <a:ln>
                            <a:noFill/>
                          </a:ln>
                        </pic:spPr>
                      </pic:pic>
                    </a:graphicData>
                  </a:graphic>
                </wp:anchor>
              </w:drawing>
            </w:r>
            <w:r>
              <w:rPr>
                <w:rFonts w:hint="eastAsia" w:ascii="宋体" w:hAnsi="宋体" w:eastAsia="宋体" w:cs="宋体"/>
                <w:b/>
                <w:bCs/>
                <w:sz w:val="21"/>
                <w:szCs w:val="21"/>
                <w:lang w:val="en-US" w:eastAsia="zh-CN"/>
              </w:rPr>
              <w:t>图5-1：切割、打磨工序生产图</w:t>
            </w: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rPr>
                <w:rFonts w:hint="eastAsia" w:ascii="宋体" w:hAnsi="宋体" w:eastAsia="宋体" w:cs="宋体"/>
                <w:b/>
                <w:bCs/>
                <w:sz w:val="24"/>
                <w:szCs w:val="24"/>
                <w:lang w:val="en-US" w:eastAsia="zh-CN"/>
              </w:rPr>
            </w:pP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六、主要污染源、污染物处理和排放</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66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废水</w:t>
            </w:r>
          </w:p>
          <w:p>
            <w:pPr>
              <w:keepNext w:val="0"/>
              <w:keepLines w:val="0"/>
              <w:pageBreakBefore w:val="0"/>
              <w:widowControl/>
              <w:suppressLineNumbers w:val="0"/>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本项目用水按来源可分为生产用水和职工生活用水等，生产用水循环使用不排放污水处理站每日可处理30吨水，生活废水用于园区绿化浇灌，不外排：</w:t>
            </w:r>
          </w:p>
          <w:p>
            <w:pPr>
              <w:pStyle w:val="29"/>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 xml:space="preserve">   项目供排水情况表</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7"/>
              <w:gridCol w:w="2542"/>
              <w:gridCol w:w="1858"/>
              <w:gridCol w:w="1858"/>
              <w:gridCol w:w="18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41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 目</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用水量（m³/</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废水产生量（m³/</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rPr>
                    <w:t>）</w:t>
                  </w:r>
                </w:p>
              </w:tc>
              <w:tc>
                <w:tcPr>
                  <w:tcW w:w="103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年排放量（</w:t>
                  </w:r>
                  <w:r>
                    <w:rPr>
                      <w:rFonts w:hint="eastAsia" w:ascii="宋体" w:hAnsi="宋体" w:eastAsia="宋体" w:cs="宋体"/>
                      <w:color w:val="auto"/>
                      <w:sz w:val="21"/>
                      <w:szCs w:val="21"/>
                    </w:rPr>
                    <w:t>m³/</w:t>
                  </w:r>
                  <w:r>
                    <w:rPr>
                      <w:rFonts w:hint="eastAsia" w:ascii="宋体" w:hAnsi="宋体" w:eastAsia="宋体" w:cs="宋体"/>
                      <w:color w:val="auto"/>
                      <w:sz w:val="21"/>
                      <w:szCs w:val="21"/>
                      <w:lang w:val="en-US" w:eastAsia="zh-CN"/>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生产用水</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18</w:t>
                  </w:r>
                </w:p>
              </w:tc>
              <w:tc>
                <w:tcPr>
                  <w:tcW w:w="103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rPr>
                    <w:t>清洁用水</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c>
                <w:tcPr>
                  <w:tcW w:w="103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4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生活用水</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0.96</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0.816</w:t>
                  </w:r>
                </w:p>
              </w:tc>
              <w:tc>
                <w:tcPr>
                  <w:tcW w:w="103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72"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41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13.27</w:t>
                  </w:r>
                </w:p>
              </w:tc>
              <w:tc>
                <w:tcPr>
                  <w:tcW w:w="1036"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9.617</w:t>
                  </w:r>
                </w:p>
              </w:tc>
              <w:tc>
                <w:tcPr>
                  <w:tcW w:w="1037" w:type="pct"/>
                  <w:tcBorders>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p>
              </w:tc>
            </w:tr>
          </w:tbl>
          <w:p>
            <w:pPr>
              <w:keepNext w:val="0"/>
              <w:keepLines w:val="0"/>
              <w:pageBreakBefore w:val="0"/>
              <w:widowControl/>
              <w:kinsoku/>
              <w:wordWrap/>
              <w:overflowPunct/>
              <w:topLinePunct w:val="0"/>
              <w:autoSpaceDE/>
              <w:autoSpaceDN/>
              <w:bidi w:val="0"/>
              <w:adjustRightInd w:val="0"/>
              <w:snapToGrid w:val="0"/>
              <w:spacing w:after="0" w:line="520" w:lineRule="exact"/>
              <w:ind w:lef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2、废气</w:t>
            </w:r>
          </w:p>
          <w:p>
            <w:pPr>
              <w:keepNext w:val="0"/>
              <w:keepLines w:val="0"/>
              <w:pageBreakBefore w:val="0"/>
              <w:widowControl/>
              <w:kinsoku/>
              <w:wordWrap/>
              <w:overflowPunct/>
              <w:topLinePunct w:val="0"/>
              <w:autoSpaceDE/>
              <w:autoSpaceDN/>
              <w:bidi w:val="0"/>
              <w:adjustRightInd w:val="0"/>
              <w:snapToGrid w:val="0"/>
              <w:spacing w:after="0" w:line="520" w:lineRule="exact"/>
              <w:ind w:firstLine="440" w:firstLineChars="200"/>
              <w:jc w:val="left"/>
              <w:textAlignment w:val="auto"/>
              <w:rPr>
                <w:rFonts w:hint="eastAsia" w:ascii="Times New Roman" w:hAnsi="Times New Roman" w:eastAsia="宋体" w:cs="Times New Roman"/>
                <w:sz w:val="24"/>
                <w:szCs w:val="24"/>
                <w:lang w:val="en-US" w:eastAsia="zh-CN"/>
              </w:rPr>
            </w:pPr>
            <w:r>
              <w:drawing>
                <wp:anchor distT="0" distB="0" distL="114300" distR="114300" simplePos="0" relativeHeight="251661312" behindDoc="0" locked="0" layoutInCell="1" allowOverlap="1">
                  <wp:simplePos x="0" y="0"/>
                  <wp:positionH relativeFrom="column">
                    <wp:posOffset>-68580</wp:posOffset>
                  </wp:positionH>
                  <wp:positionV relativeFrom="paragraph">
                    <wp:posOffset>718185</wp:posOffset>
                  </wp:positionV>
                  <wp:extent cx="5819775" cy="2262505"/>
                  <wp:effectExtent l="0" t="0" r="9525" b="4445"/>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819775" cy="2262505"/>
                          </a:xfrm>
                          <a:prstGeom prst="rect">
                            <a:avLst/>
                          </a:prstGeom>
                          <a:noFill/>
                          <a:ln>
                            <a:noFill/>
                          </a:ln>
                        </pic:spPr>
                      </pic:pic>
                    </a:graphicData>
                  </a:graphic>
                </wp:anchor>
              </w:drawing>
            </w:r>
            <w:r>
              <w:rPr>
                <w:rFonts w:hint="eastAsia" w:ascii="Times New Roman" w:hAnsi="Times New Roman" w:eastAsia="宋体" w:cs="Times New Roman"/>
                <w:color w:val="auto"/>
                <w:sz w:val="24"/>
                <w:lang w:val="en-US" w:eastAsia="zh-CN"/>
              </w:rPr>
              <w:t>项目建成后的废气源来火烧废气，主要污染物为颗粒物、SO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、NOx，产生废气经布袋除尘处理后通过15m高排气筒排放。</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图6-1：火烧机废气废气处理设施</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项目噪声主要来自于</w:t>
            </w:r>
            <w:r>
              <w:rPr>
                <w:rFonts w:hint="default" w:ascii="Times New Roman" w:hAnsi="Times New Roman" w:eastAsia="宋体" w:cs="Times New Roman"/>
                <w:sz w:val="24"/>
                <w:szCs w:val="24"/>
                <w:lang w:eastAsia="zh-CN"/>
              </w:rPr>
              <w:t>设备</w:t>
            </w:r>
            <w:r>
              <w:rPr>
                <w:rFonts w:hint="default" w:ascii="Times New Roman" w:hAnsi="Times New Roman" w:eastAsia="宋体" w:cs="Times New Roman"/>
                <w:sz w:val="24"/>
                <w:szCs w:val="24"/>
              </w:rPr>
              <w:t>运行</w:t>
            </w:r>
            <w:r>
              <w:rPr>
                <w:rFonts w:hint="default" w:ascii="Times New Roman" w:hAnsi="Times New Roman" w:eastAsia="宋体" w:cs="Times New Roman"/>
                <w:sz w:val="24"/>
                <w:szCs w:val="24"/>
                <w:lang w:eastAsia="zh-CN"/>
              </w:rPr>
              <w:t>过程中</w:t>
            </w:r>
            <w:r>
              <w:rPr>
                <w:rFonts w:hint="default" w:ascii="Times New Roman" w:hAnsi="Times New Roman" w:eastAsia="宋体" w:cs="Times New Roman"/>
                <w:sz w:val="24"/>
                <w:szCs w:val="24"/>
              </w:rPr>
              <w:t>产生的噪声</w:t>
            </w:r>
            <w:r>
              <w:rPr>
                <w:rFonts w:hint="default" w:ascii="Times New Roman" w:hAnsi="Times New Roman" w:eastAsia="宋体" w:cs="Times New Roman"/>
                <w:sz w:val="24"/>
                <w:szCs w:val="24"/>
                <w:lang w:val="en-US" w:eastAsia="zh-CN"/>
              </w:rPr>
              <w:t>，采取减震、隔声措施，并合理布置设备位置，</w:t>
            </w:r>
            <w:r>
              <w:rPr>
                <w:rFonts w:hint="default" w:ascii="Times New Roman" w:hAnsi="Times New Roman" w:eastAsia="宋体" w:cs="Times New Roman"/>
                <w:sz w:val="24"/>
                <w:szCs w:val="24"/>
                <w:lang w:val="en-GB" w:eastAsia="zh-CN"/>
              </w:rPr>
              <w:t>利用围墙隔声和距离衰减的情况下，</w:t>
            </w:r>
            <w:r>
              <w:rPr>
                <w:rFonts w:hint="default" w:ascii="Times New Roman" w:hAnsi="Times New Roman" w:eastAsia="宋体" w:cs="Times New Roman"/>
                <w:sz w:val="24"/>
                <w:szCs w:val="24"/>
                <w:lang w:val="en-US" w:eastAsia="zh-CN"/>
              </w:rPr>
              <w:t>降低噪声对环境的影响。</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4、固废</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4"/>
                <w:lang w:val="en-US" w:eastAsia="zh-CN" w:bidi="ar-SA"/>
              </w:rPr>
              <w:t>本</w:t>
            </w:r>
            <w:r>
              <w:rPr>
                <w:rFonts w:hint="eastAsia" w:ascii="Times New Roman" w:hAnsi="Times New Roman" w:eastAsia="宋体" w:cs="Times New Roman"/>
                <w:color w:val="auto"/>
                <w:sz w:val="24"/>
                <w:szCs w:val="22"/>
                <w:lang w:val="en-US" w:eastAsia="zh-CN" w:bidi="ar-SA"/>
              </w:rPr>
              <w:t>项目固体废弃物主要为生产废料、废刀片、废砂轮砂纸和员工生活垃圾等。</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（1）生产废料：根据企业提供资料，石材加工过程中产生的固体废物（不规则边角料，碎料状废料、粉末状废料、沉淀池中的石粉）约1500t/a。收集后外售再利用。</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（2）废刀片：在切割过程中造成刀片损耗，定期更换刀片，报废的刀片约为0.3t/a。收集后外售再利用。</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（3）废砂轮砂纸：砂轮砂纸在打磨过程中造成损耗，损耗到一定程度后报废，废砂轮砂纸约0.2t/a。由环卫部门统一收集。</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textAlignment w:val="auto"/>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（4）生活垃圾：项目员工为12人，年工作天数为300天，人均生活垃圾产量按0.8kg/d计算，则职工生活垃圾产生量约为2.8t/a。</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sz w:val="24"/>
                <w:szCs w:val="22"/>
                <w:lang w:val="en-US" w:eastAsia="zh-CN" w:bidi="ar-SA"/>
              </w:rPr>
            </w:pPr>
            <w:r>
              <w:rPr>
                <w:rFonts w:hint="eastAsia" w:ascii="Times New Roman" w:hAnsi="Times New Roman" w:eastAsia="宋体" w:cs="Times New Roman"/>
                <w:color w:val="auto"/>
                <w:sz w:val="24"/>
                <w:szCs w:val="22"/>
                <w:lang w:val="en-US" w:eastAsia="zh-CN" w:bidi="ar-SA"/>
              </w:rPr>
              <w:t>（5）废油桶：柴油油桶循环使用，空桶暂存于危废间内，有破损时更换，年产生量为0.3t/a；废机油桶年产生量为0.2t/a。</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2" w:firstLineChars="200"/>
              <w:jc w:val="center"/>
              <w:textAlignment w:val="auto"/>
              <w:rPr>
                <w:rFonts w:hint="default" w:ascii="宋体" w:hAnsi="宋体" w:eastAsia="宋体" w:cs="宋体"/>
                <w:b/>
                <w:color w:val="auto"/>
                <w:sz w:val="21"/>
                <w:szCs w:val="21"/>
                <w:lang w:val="en-US" w:eastAsia="zh-CN" w:bidi="ar-SA"/>
              </w:rPr>
            </w:pPr>
            <w:r>
              <w:rPr>
                <w:rFonts w:hint="default" w:ascii="宋体" w:hAnsi="宋体" w:eastAsia="宋体" w:cs="宋体"/>
                <w:b/>
                <w:color w:val="auto"/>
                <w:sz w:val="21"/>
                <w:szCs w:val="21"/>
                <w:lang w:val="en-US" w:eastAsia="zh-CN" w:bidi="ar-SA"/>
              </w:rPr>
              <w:t>表</w:t>
            </w:r>
            <w:r>
              <w:rPr>
                <w:rFonts w:hint="eastAsia" w:ascii="宋体" w:hAnsi="宋体" w:eastAsia="宋体" w:cs="宋体"/>
                <w:b/>
                <w:color w:val="auto"/>
                <w:sz w:val="21"/>
                <w:szCs w:val="21"/>
                <w:lang w:val="en-US" w:eastAsia="zh-CN" w:bidi="ar-SA"/>
              </w:rPr>
              <w:t>6</w:t>
            </w:r>
            <w:r>
              <w:rPr>
                <w:rFonts w:hint="default" w:ascii="宋体" w:hAnsi="宋体" w:eastAsia="宋体" w:cs="宋体"/>
                <w:b/>
                <w:color w:val="auto"/>
                <w:sz w:val="21"/>
                <w:szCs w:val="21"/>
                <w:lang w:val="en-US" w:eastAsia="zh-CN" w:bidi="ar-SA"/>
              </w:rPr>
              <w:t>-</w:t>
            </w:r>
            <w:r>
              <w:rPr>
                <w:rFonts w:hint="eastAsia" w:ascii="宋体" w:hAnsi="宋体" w:eastAsia="宋体" w:cs="宋体"/>
                <w:b/>
                <w:color w:val="auto"/>
                <w:sz w:val="21"/>
                <w:szCs w:val="21"/>
                <w:lang w:val="en-US" w:eastAsia="zh-CN" w:bidi="ar-SA"/>
              </w:rPr>
              <w:t>2</w:t>
            </w:r>
            <w:r>
              <w:rPr>
                <w:rFonts w:hint="default" w:ascii="宋体" w:hAnsi="宋体" w:eastAsia="宋体" w:cs="宋体"/>
                <w:b/>
                <w:color w:val="auto"/>
                <w:sz w:val="21"/>
                <w:szCs w:val="21"/>
                <w:lang w:val="en-US" w:eastAsia="zh-CN" w:bidi="ar-SA"/>
              </w:rPr>
              <w:t xml:space="preserve"> 项目固体废物产生及处理情况表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354"/>
              <w:gridCol w:w="2831"/>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3"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2354" w:type="dxa"/>
                  <w:vAlign w:val="center"/>
                </w:tcPr>
                <w:p>
                  <w:pPr>
                    <w:pStyle w:val="27"/>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rPr>
                    <w:t>名称</w:t>
                  </w:r>
                </w:p>
              </w:tc>
              <w:tc>
                <w:tcPr>
                  <w:tcW w:w="283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产生量</w:t>
                  </w:r>
                  <w:r>
                    <w:rPr>
                      <w:rFonts w:hint="eastAsia" w:ascii="Times New Roman" w:hAnsi="Times New Roman" w:eastAsia="宋体" w:cs="Times New Roman"/>
                      <w:color w:val="auto"/>
                      <w:sz w:val="24"/>
                      <w:szCs w:val="24"/>
                      <w:lang w:val="en-US" w:eastAsia="zh-CN" w:bidi="ar-SA"/>
                    </w:rPr>
                    <w:t>t/a</w:t>
                  </w:r>
                </w:p>
              </w:tc>
              <w:tc>
                <w:tcPr>
                  <w:tcW w:w="283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eastAsia="zh-CN"/>
                    </w:rPr>
                    <w:t>处理处置方式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53"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2354"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生产废料</w:t>
                  </w:r>
                </w:p>
              </w:tc>
              <w:tc>
                <w:tcPr>
                  <w:tcW w:w="2831"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1500t/a</w:t>
                  </w:r>
                </w:p>
              </w:tc>
              <w:tc>
                <w:tcPr>
                  <w:tcW w:w="2832" w:type="dxa"/>
                  <w:vMerge w:val="restart"/>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eastAsia="zh-CN"/>
                    </w:rPr>
                    <w:t>集中收集后外售给其他公司回用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3"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2354"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废刀片</w:t>
                  </w:r>
                </w:p>
              </w:tc>
              <w:tc>
                <w:tcPr>
                  <w:tcW w:w="2831"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0.3t/a</w:t>
                  </w:r>
                </w:p>
              </w:tc>
              <w:tc>
                <w:tcPr>
                  <w:tcW w:w="2832" w:type="dxa"/>
                  <w:vMerge w:val="continue"/>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3"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3</w:t>
                  </w:r>
                </w:p>
              </w:tc>
              <w:tc>
                <w:tcPr>
                  <w:tcW w:w="2354"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废砂轮砂纸</w:t>
                  </w:r>
                </w:p>
              </w:tc>
              <w:tc>
                <w:tcPr>
                  <w:tcW w:w="2831"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0.2t/a</w:t>
                  </w:r>
                </w:p>
              </w:tc>
              <w:tc>
                <w:tcPr>
                  <w:tcW w:w="2832"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rPr>
                  </w:pPr>
                  <w:r>
                    <w:rPr>
                      <w:rFonts w:hint="eastAsia" w:ascii="Times New Roman" w:hAnsi="Times New Roman" w:eastAsia="宋体" w:cs="Times New Roman"/>
                      <w:color w:val="auto"/>
                      <w:sz w:val="21"/>
                      <w:szCs w:val="21"/>
                      <w:lang w:val="en-US" w:eastAsia="zh-CN" w:bidi="ar-SA"/>
                    </w:rPr>
                    <w:t>环卫部门统一收集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3"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4</w:t>
                  </w:r>
                </w:p>
              </w:tc>
              <w:tc>
                <w:tcPr>
                  <w:tcW w:w="2354"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生活垃圾</w:t>
                  </w:r>
                </w:p>
              </w:tc>
              <w:tc>
                <w:tcPr>
                  <w:tcW w:w="2831"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2.8t/a</w:t>
                  </w:r>
                </w:p>
              </w:tc>
              <w:tc>
                <w:tcPr>
                  <w:tcW w:w="2832" w:type="dxa"/>
                  <w:vMerge w:val="continue"/>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3"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5</w:t>
                  </w:r>
                </w:p>
              </w:tc>
              <w:tc>
                <w:tcPr>
                  <w:tcW w:w="2354"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废油桶</w:t>
                  </w:r>
                </w:p>
              </w:tc>
              <w:tc>
                <w:tcPr>
                  <w:tcW w:w="2831"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bidi="zh-CN"/>
                    </w:rPr>
                    <w:t>暂未产生</w:t>
                  </w:r>
                </w:p>
              </w:tc>
              <w:tc>
                <w:tcPr>
                  <w:tcW w:w="2832" w:type="dxa"/>
                  <w:vAlign w:val="center"/>
                </w:tcPr>
                <w:p>
                  <w:pPr>
                    <w:pStyle w:val="24"/>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eastAsia="zh-CN"/>
                    </w:rPr>
                    <w:t>委托有资质单位处置</w:t>
                  </w:r>
                </w:p>
              </w:tc>
            </w:tr>
          </w:tbl>
          <w:p>
            <w:pPr>
              <w:pStyle w:val="3"/>
              <w:jc w:val="center"/>
              <w:rPr>
                <w:rFonts w:hint="eastAsia" w:ascii="宋体" w:hAnsi="宋体" w:eastAsia="宋体" w:cs="宋体"/>
                <w:b/>
                <w:bCs/>
                <w:color w:val="auto"/>
                <w:sz w:val="21"/>
                <w:szCs w:val="21"/>
                <w:lang w:val="en-US" w:eastAsia="zh-CN"/>
              </w:rPr>
            </w:pPr>
            <w:r>
              <w:drawing>
                <wp:inline distT="0" distB="0" distL="114300" distR="114300">
                  <wp:extent cx="5699125" cy="2171700"/>
                  <wp:effectExtent l="0" t="0" r="1587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699125" cy="2171700"/>
                          </a:xfrm>
                          <a:prstGeom prst="rect">
                            <a:avLst/>
                          </a:prstGeom>
                          <a:noFill/>
                          <a:ln>
                            <a:noFill/>
                          </a:ln>
                        </pic:spPr>
                      </pic:pic>
                    </a:graphicData>
                  </a:graphic>
                </wp:inline>
              </w:drawing>
            </w:r>
            <w:r>
              <w:rPr>
                <w:rFonts w:hint="eastAsia" w:ascii="宋体" w:hAnsi="宋体" w:eastAsia="宋体" w:cs="宋体"/>
                <w:b/>
                <w:bCs/>
                <w:color w:val="auto"/>
                <w:sz w:val="21"/>
                <w:szCs w:val="21"/>
                <w:lang w:val="en-US" w:eastAsia="zh-CN"/>
              </w:rPr>
              <w:t>图3：危废暂存间</w:t>
            </w: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drawing>
                <wp:inline distT="0" distB="0" distL="114300" distR="114300">
                  <wp:extent cx="2785110" cy="2090420"/>
                  <wp:effectExtent l="0" t="0" r="15240" b="5080"/>
                  <wp:docPr id="1" name="图片 1" descr="c92a2c4dcb95f4826cec481ee554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92a2c4dcb95f4826cec481ee55449c"/>
                          <pic:cNvPicPr>
                            <a:picLocks noChangeAspect="1"/>
                          </pic:cNvPicPr>
                        </pic:nvPicPr>
                        <pic:blipFill>
                          <a:blip r:embed="rId13"/>
                          <a:stretch>
                            <a:fillRect/>
                          </a:stretch>
                        </pic:blipFill>
                        <pic:spPr>
                          <a:xfrm>
                            <a:off x="0" y="0"/>
                            <a:ext cx="2785110" cy="2090420"/>
                          </a:xfrm>
                          <a:prstGeom prst="rect">
                            <a:avLst/>
                          </a:prstGeom>
                        </pic:spPr>
                      </pic:pic>
                    </a:graphicData>
                  </a:graphic>
                </wp:inline>
              </w:drawing>
            </w:r>
            <w:r>
              <w:rPr>
                <w:rFonts w:hint="eastAsia" w:ascii="宋体" w:hAnsi="宋体" w:eastAsia="宋体" w:cs="宋体"/>
                <w:b/>
                <w:bCs/>
                <w:color w:val="auto"/>
                <w:sz w:val="21"/>
                <w:szCs w:val="21"/>
                <w:lang w:val="en-US" w:eastAsia="zh-CN"/>
              </w:rPr>
              <w:drawing>
                <wp:inline distT="0" distB="0" distL="114300" distR="114300">
                  <wp:extent cx="2743200" cy="2058670"/>
                  <wp:effectExtent l="0" t="0" r="0" b="17780"/>
                  <wp:docPr id="2" name="图片 2" descr="fbebbfa0d3490a4ce6667b28ccd0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bebbfa0d3490a4ce6667b28ccd07df"/>
                          <pic:cNvPicPr>
                            <a:picLocks noChangeAspect="1"/>
                          </pic:cNvPicPr>
                        </pic:nvPicPr>
                        <pic:blipFill>
                          <a:blip r:embed="rId14"/>
                          <a:stretch>
                            <a:fillRect/>
                          </a:stretch>
                        </pic:blipFill>
                        <pic:spPr>
                          <a:xfrm>
                            <a:off x="0" y="0"/>
                            <a:ext cx="2743200" cy="2058670"/>
                          </a:xfrm>
                          <a:prstGeom prst="rect">
                            <a:avLst/>
                          </a:prstGeom>
                        </pic:spPr>
                      </pic:pic>
                    </a:graphicData>
                  </a:graphic>
                </wp:inline>
              </w:drawing>
            </w: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图</w:t>
            </w:r>
            <w:r>
              <w:rPr>
                <w:rFonts w:hint="eastAsia" w:hAnsi="宋体" w:eastAsia="宋体" w:cs="宋体"/>
                <w:b/>
                <w:bCs/>
                <w:color w:val="auto"/>
                <w:sz w:val="21"/>
                <w:szCs w:val="21"/>
                <w:lang w:val="en-US" w:eastAsia="zh-CN"/>
              </w:rPr>
              <w:t>4</w:t>
            </w:r>
            <w:r>
              <w:rPr>
                <w:rFonts w:hint="eastAsia" w:ascii="宋体" w:hAnsi="宋体" w:eastAsia="宋体" w:cs="宋体"/>
                <w:b/>
                <w:bCs/>
                <w:color w:val="auto"/>
                <w:sz w:val="21"/>
                <w:szCs w:val="21"/>
                <w:lang w:val="en-US" w:eastAsia="zh-CN"/>
              </w:rPr>
              <w:t>：一</w:t>
            </w:r>
            <w:r>
              <w:rPr>
                <w:rFonts w:hint="eastAsia" w:ascii="宋体" w:hAnsi="宋体" w:eastAsia="宋体" w:cs="宋体"/>
                <w:b/>
                <w:bCs/>
                <w:color w:val="auto"/>
                <w:sz w:val="21"/>
                <w:szCs w:val="21"/>
                <w:lang w:val="en-US" w:eastAsia="zh-CN"/>
              </w:rPr>
              <w:t>般固废存放区</w:t>
            </w:r>
          </w:p>
          <w:p>
            <w:pPr>
              <w:jc w:val="center"/>
              <w:rPr>
                <w:rFonts w:hint="default"/>
                <w:lang w:val="en-US" w:eastAsia="zh-CN"/>
              </w:rPr>
            </w:pPr>
            <w:r>
              <w:rPr>
                <w:rFonts w:hint="default"/>
                <w:lang w:val="en-US" w:eastAsia="zh-CN"/>
              </w:rPr>
              <w:drawing>
                <wp:inline distT="0" distB="0" distL="114300" distR="114300">
                  <wp:extent cx="3222625" cy="2418080"/>
                  <wp:effectExtent l="0" t="0" r="15875" b="1270"/>
                  <wp:docPr id="3" name="图片 3" descr="c47a1b0cd3d9a5a31c97067e2d6e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47a1b0cd3d9a5a31c97067e2d6e9fd"/>
                          <pic:cNvPicPr>
                            <a:picLocks noChangeAspect="1"/>
                          </pic:cNvPicPr>
                        </pic:nvPicPr>
                        <pic:blipFill>
                          <a:blip r:embed="rId15"/>
                          <a:stretch>
                            <a:fillRect/>
                          </a:stretch>
                        </pic:blipFill>
                        <pic:spPr>
                          <a:xfrm>
                            <a:off x="0" y="0"/>
                            <a:ext cx="3222625" cy="2418080"/>
                          </a:xfrm>
                          <a:prstGeom prst="rect">
                            <a:avLst/>
                          </a:prstGeom>
                        </pic:spPr>
                      </pic:pic>
                    </a:graphicData>
                  </a:graphic>
                </wp:inline>
              </w:drawing>
            </w:r>
          </w:p>
          <w:p>
            <w:pPr>
              <w:pStyle w:val="2"/>
              <w:jc w:val="center"/>
              <w:rPr>
                <w:rFonts w:hint="default" w:ascii="宋体" w:hAnsi="宋体" w:eastAsia="宋体" w:cs="宋体"/>
                <w:b/>
                <w:bCs/>
                <w:color w:val="auto"/>
                <w:sz w:val="21"/>
                <w:szCs w:val="21"/>
                <w:lang w:val="en-US" w:eastAsia="zh-CN" w:bidi="ar-SA"/>
              </w:rPr>
            </w:pPr>
            <w:r>
              <w:rPr>
                <w:rFonts w:hint="eastAsia" w:ascii="宋体" w:hAnsi="宋体" w:eastAsia="宋体" w:cs="宋体"/>
                <w:b/>
                <w:bCs/>
                <w:color w:val="auto"/>
                <w:sz w:val="21"/>
                <w:szCs w:val="21"/>
                <w:lang w:val="en-US" w:eastAsia="zh-CN" w:bidi="ar-SA"/>
              </w:rPr>
              <w:t>图5：污泥暂存区</w:t>
            </w:r>
          </w:p>
          <w:p>
            <w:pPr>
              <w:pStyle w:val="12"/>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leftChars="0" w:firstLine="480" w:firstLineChars="200"/>
              <w:textAlignment w:val="auto"/>
              <w:rPr>
                <w:rFonts w:hint="default" w:hAnsi="宋体" w:eastAsia="宋体" w:cs="宋体"/>
                <w:color w:val="auto"/>
                <w:sz w:val="24"/>
                <w:szCs w:val="24"/>
                <w:lang w:val="en-US" w:eastAsia="zh-CN"/>
              </w:rPr>
            </w:pPr>
            <w:r>
              <w:rPr>
                <w:rFonts w:hint="eastAsia" w:hAnsi="宋体" w:eastAsia="宋体" w:cs="宋体"/>
                <w:color w:val="auto"/>
                <w:sz w:val="24"/>
                <w:szCs w:val="24"/>
                <w:lang w:val="en-US" w:eastAsia="zh-CN"/>
              </w:rPr>
              <w:t>由于本项目在汪溪石材加工园区内，土地产权归开发区所有，经长时间沟通、协调，出于安全等其他因素，一般固废区上方不允许搭建过高的棚子，受场地限制，一般固废区只能设置在此处，本项目一般固废主要为废石材，转运时需使用挖掘机进行装卸，棚子需要一定的高度，故一般固废区使用使用防尘、防水布将其覆盖，防止扬尘，并做到及时转运，不大量存放。</w:t>
            </w:r>
          </w:p>
          <w:p>
            <w:pPr>
              <w:pStyle w:val="12"/>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Autospacing="0" w:line="360" w:lineRule="auto"/>
              <w:ind w:leftChars="0"/>
              <w:textAlignment w:val="auto"/>
              <w:rPr>
                <w:rFonts w:hint="eastAsia" w:ascii="宋体" w:hAnsi="宋体" w:eastAsia="宋体" w:cs="宋体"/>
                <w:color w:val="auto"/>
                <w:sz w:val="24"/>
                <w:szCs w:val="24"/>
              </w:rPr>
            </w:pPr>
            <w:r>
              <w:rPr>
                <w:rFonts w:hint="eastAsia" w:hAnsi="宋体" w:eastAsia="宋体" w:cs="宋体"/>
                <w:color w:val="auto"/>
                <w:sz w:val="24"/>
                <w:szCs w:val="24"/>
                <w:lang w:val="en-US" w:eastAsia="zh-CN"/>
              </w:rPr>
              <w:t>5、</w:t>
            </w:r>
            <w:r>
              <w:rPr>
                <w:rFonts w:hint="eastAsia" w:ascii="宋体" w:hAnsi="宋体" w:eastAsia="宋体" w:cs="宋体"/>
                <w:color w:val="auto"/>
                <w:sz w:val="24"/>
                <w:szCs w:val="24"/>
              </w:rPr>
              <w:t>卫生防护距离</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本项目用地场界外设置50米环境防护距离。根据现场调查，项目厂界周边100m范围内无居民、学校、医院等环境敏感点，能够满足环境防护距离的要求。同时在本项目环境防护距离范围内，不得规划建设诸如机关、学校、医院、养老院、居民区等环境空气要求较高的项目。</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6、排污许可证完成情况：</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于2020年5月6日申请，排污许可证编号为92341881MA2N9LY55J001R，于2021年1月11日申请，暂时未审核通过。</w:t>
            </w:r>
          </w:p>
          <w:p>
            <w:pPr>
              <w:keepNext w:val="0"/>
              <w:keepLines w:val="0"/>
              <w:pageBreakBefore w:val="0"/>
              <w:widowControl/>
              <w:kinsoku/>
              <w:wordWrap/>
              <w:overflowPunct/>
              <w:topLinePunct w:val="0"/>
              <w:autoSpaceDE/>
              <w:autoSpaceDN/>
              <w:bidi w:val="0"/>
              <w:adjustRightInd w:val="0"/>
              <w:snapToGrid w:val="0"/>
              <w:spacing w:after="0"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七、建设项目环境影响报告表主要结论及审批部门审批决定： </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1、环评报告表主要结论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宁国市刘宏甫石材加工厂石材加工项目符合国家产业政策，项目选址符合宁国市总体规划要求。通过本项目所在地环境现状调查、工程分析、环境影响分析可知，只要建设单位在工程建设时充分落实本环评提出的各项污染防治对策，认真做好“三同时”及日常环保管理工作，项目对环境的影响可降至最小。因此，从环保角度出发，本项目建设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color w:val="auto"/>
                <w:sz w:val="24"/>
                <w:szCs w:val="24"/>
              </w:rPr>
            </w:pPr>
            <w:r>
              <w:rPr>
                <w:rFonts w:hint="default" w:ascii="Times New Roman" w:hAnsi="Times New Roman" w:eastAsia="宋体" w:cs="Times New Roman"/>
                <w:color w:val="auto"/>
                <w:sz w:val="24"/>
                <w:szCs w:val="24"/>
              </w:rPr>
              <w:t>2</w:t>
            </w:r>
            <w:r>
              <w:rPr>
                <w:rFonts w:hint="eastAsia" w:ascii="宋体" w:hAnsi="宋体" w:eastAsia="宋体" w:cs="宋体"/>
                <w:color w:val="auto"/>
                <w:sz w:val="24"/>
                <w:szCs w:val="24"/>
              </w:rPr>
              <w:t>、审批决定</w:t>
            </w:r>
          </w:p>
          <w:p>
            <w:pPr>
              <w:keepNext w:val="0"/>
              <w:keepLines w:val="0"/>
              <w:pageBreakBefore w:val="0"/>
              <w:widowControl/>
              <w:kinsoku/>
              <w:wordWrap/>
              <w:overflowPunct/>
              <w:topLinePunct w:val="0"/>
              <w:autoSpaceDE/>
              <w:autoSpaceDN/>
              <w:bidi w:val="0"/>
              <w:adjustRightInd w:val="0"/>
              <w:snapToGrid w:val="0"/>
              <w:spacing w:after="0" w:line="360" w:lineRule="auto"/>
              <w:ind w:firstLine="48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一、宁国市刘宏甫石材加工厂石材加工项目位于宁国市汪溪街道殷白村汪溪石材加工集中市场。项目主要产品为毛板、抛光板、火烧板等石材，预计年产量8000吨。该项目经宁国经济技术开发区管理委员会备案，项目代码：2019-341862-30-03-010845。经我局研究，原则同意该项目建设。</w:t>
            </w:r>
          </w:p>
          <w:p>
            <w:pPr>
              <w:keepNext w:val="0"/>
              <w:keepLines w:val="0"/>
              <w:pageBreakBefore w:val="0"/>
              <w:widowControl/>
              <w:numPr>
                <w:ilvl w:val="0"/>
                <w:numId w:val="5"/>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项目生产废水处理后循环使用，不外排。生活废水执行《污水综合排放标准》（GB8978-1996）一级标准；待与污水处理厂签订接管协议后，废水排放执行《污水综合排放标准》（GB8978-1996）中的三级标准及污水处理厂接管</w:t>
            </w:r>
            <w:r>
              <w:rPr>
                <w:rFonts w:hint="eastAsia" w:ascii="Times New Roman" w:hAnsi="Times New Roman" w:eastAsia="宋体"/>
                <w:sz w:val="24"/>
                <w:szCs w:val="24"/>
                <w:lang w:val="en-US" w:eastAsia="zh-CN"/>
              </w:rPr>
              <w:t>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三、项目火烧机度气有组织排政参照执行上海市《工业炉密大气污染物排放标准》（0B31860-2014）表1排放选度；其他颗粒物排放及火烧机废气无组织排放执行《大气污染物综合排放标准》（GB16297-1996）二级标准及无组织排放监控浓度限值浓度。</w:t>
            </w:r>
          </w:p>
          <w:p>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四、项目噪声排放执行《工业企业厂界环境噪声排放标准》（GB12348-2008）中的3类标准。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五、项目一般固体废物执行《一般工业固体废物贮存、处置场污染控制标准》（GB18599一2001）及其2013年修改单规定。</w:t>
            </w:r>
          </w:p>
          <w:p>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六、项目总量控制指标烟（粉）尘为0.091t/a、S0</w:t>
            </w:r>
            <w:r>
              <w:rPr>
                <w:rFonts w:hint="eastAsia" w:ascii="Times New Roman" w:hAnsi="Times New Roman" w:eastAsia="宋体"/>
                <w:sz w:val="24"/>
                <w:szCs w:val="24"/>
                <w:vertAlign w:val="subscript"/>
                <w:lang w:val="en-US" w:eastAsia="zh-CN"/>
              </w:rPr>
              <w:t>2</w:t>
            </w:r>
            <w:r>
              <w:rPr>
                <w:rFonts w:hint="default" w:ascii="Times New Roman" w:hAnsi="Times New Roman" w:eastAsia="Times New Roman"/>
                <w:sz w:val="24"/>
                <w:szCs w:val="24"/>
                <w:lang w:val="zh-CN"/>
              </w:rPr>
              <w:t>为0.452kg/a、NOx为5.269kg/a。</w:t>
            </w:r>
          </w:p>
          <w:p>
            <w:pPr>
              <w:keepNext w:val="0"/>
              <w:keepLines w:val="0"/>
              <w:pageBreakBefore w:val="0"/>
              <w:widowControl/>
              <w:kinsoku/>
              <w:wordWrap/>
              <w:overflowPunct/>
              <w:topLinePunct w:val="0"/>
              <w:autoSpaceDE/>
              <w:autoSpaceDN/>
              <w:bidi w:val="0"/>
              <w:adjustRightInd w:val="0"/>
              <w:snapToGrid w:val="0"/>
              <w:spacing w:after="0" w:line="360" w:lineRule="auto"/>
              <w:ind w:firstLine="482"/>
              <w:textAlignment w:val="auto"/>
              <w:rPr>
                <w:rFonts w:hint="default" w:ascii="Times New Roman" w:hAnsi="Times New Roman" w:eastAsia="Times New Roman"/>
                <w:sz w:val="24"/>
                <w:szCs w:val="24"/>
                <w:lang w:val="zh-CN"/>
              </w:rPr>
            </w:pPr>
            <w:r>
              <w:rPr>
                <w:rFonts w:hint="default" w:ascii="Times New Roman" w:hAnsi="Times New Roman" w:eastAsia="Times New Roman"/>
                <w:sz w:val="24"/>
                <w:szCs w:val="24"/>
                <w:lang w:val="zh-CN"/>
              </w:rPr>
              <w:t>七、项目建成后严格执行排污许可制度。</w:t>
            </w:r>
          </w:p>
          <w:p>
            <w:pPr>
              <w:pStyle w:val="2"/>
              <w:keepNext w:val="0"/>
              <w:keepLines w:val="0"/>
              <w:pageBreakBefore w:val="0"/>
              <w:kinsoku/>
              <w:wordWrap/>
              <w:overflowPunct/>
              <w:topLinePunct w:val="0"/>
              <w:autoSpaceDE/>
              <w:autoSpaceDN/>
              <w:bidi w:val="0"/>
              <w:adjustRightInd w:val="0"/>
              <w:snapToGrid w:val="0"/>
              <w:spacing w:after="0" w:line="360" w:lineRule="auto"/>
              <w:ind w:firstLine="480" w:firstLineChars="200"/>
              <w:textAlignment w:val="auto"/>
              <w:rPr>
                <w:rFonts w:hint="default"/>
                <w:sz w:val="24"/>
                <w:szCs w:val="24"/>
                <w:lang w:val="en-US" w:eastAsia="zh-CN"/>
              </w:rPr>
            </w:pPr>
            <w:r>
              <w:rPr>
                <w:rFonts w:hint="default" w:ascii="Times New Roman" w:hAnsi="Times New Roman" w:eastAsia="Times New Roman"/>
                <w:sz w:val="24"/>
                <w:szCs w:val="24"/>
                <w:lang w:val="zh-CN"/>
              </w:rPr>
              <w:t>八、项目竣工后，你厂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宋体"/>
                <w:b/>
                <w:bCs/>
                <w:color w:val="auto"/>
                <w:sz w:val="24"/>
                <w:szCs w:val="24"/>
              </w:rPr>
            </w:pPr>
            <w:r>
              <w:rPr>
                <w:rFonts w:ascii="Times New Roman" w:hAnsi="Times New Roman" w:eastAsia="宋体"/>
                <w:color w:val="auto"/>
                <w:sz w:val="24"/>
                <w:szCs w:val="24"/>
              </w:rPr>
              <w:t>环评批复落实情况见下表</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jc w:val="center"/>
              <w:textAlignment w:val="auto"/>
              <w:rPr>
                <w:rFonts w:ascii="Times New Roman" w:hAnsi="Times New Roman" w:eastAsia="宋体"/>
                <w:b/>
                <w:bCs/>
                <w:color w:val="auto"/>
                <w:sz w:val="21"/>
                <w:szCs w:val="21"/>
              </w:rPr>
            </w:pPr>
            <w:r>
              <w:rPr>
                <w:rFonts w:ascii="Times New Roman" w:hAnsi="Times New Roman" w:eastAsia="宋体"/>
                <w:b/>
                <w:bCs/>
                <w:color w:val="auto"/>
                <w:sz w:val="21"/>
                <w:szCs w:val="21"/>
              </w:rPr>
              <w:t>表</w:t>
            </w:r>
            <w:r>
              <w:rPr>
                <w:rFonts w:hint="eastAsia" w:ascii="Times New Roman" w:hAnsi="Times New Roman" w:eastAsia="宋体"/>
                <w:b/>
                <w:bCs/>
                <w:color w:val="auto"/>
                <w:sz w:val="21"/>
                <w:szCs w:val="21"/>
                <w:lang w:val="en-US" w:eastAsia="zh-CN"/>
              </w:rPr>
              <w:t xml:space="preserve">7-1  </w:t>
            </w:r>
            <w:r>
              <w:rPr>
                <w:rFonts w:ascii="Times New Roman" w:hAnsi="Times New Roman" w:eastAsia="宋体"/>
                <w:b/>
                <w:bCs/>
                <w:color w:val="auto"/>
                <w:sz w:val="21"/>
                <w:szCs w:val="21"/>
              </w:rPr>
              <w:t xml:space="preserve">  环评批复要求与落实情况对照表</w:t>
            </w:r>
          </w:p>
          <w:tbl>
            <w:tblPr>
              <w:tblStyle w:val="17"/>
              <w:tblW w:w="480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418"/>
              <w:gridCol w:w="420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56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宁环审批[20</w:t>
                  </w:r>
                  <w:r>
                    <w:rPr>
                      <w:rFonts w:hint="eastAsia" w:cs="宋体"/>
                      <w:color w:val="auto"/>
                      <w:sz w:val="21"/>
                      <w:szCs w:val="21"/>
                      <w:lang w:val="en-US" w:eastAsia="zh-CN"/>
                    </w:rPr>
                    <w:t>20</w:t>
                  </w:r>
                  <w:r>
                    <w:rPr>
                      <w:rFonts w:hint="eastAsia" w:ascii="宋体" w:hAnsi="宋体" w:eastAsia="宋体" w:cs="宋体"/>
                      <w:color w:val="auto"/>
                      <w:sz w:val="21"/>
                      <w:szCs w:val="21"/>
                    </w:rPr>
                    <w:t>]</w:t>
                  </w:r>
                  <w:r>
                    <w:rPr>
                      <w:rFonts w:hint="eastAsia" w:cs="宋体"/>
                      <w:color w:val="auto"/>
                      <w:sz w:val="21"/>
                      <w:szCs w:val="21"/>
                      <w:lang w:val="en-US" w:eastAsia="zh-CN"/>
                    </w:rPr>
                    <w:t>106</w:t>
                  </w:r>
                  <w:r>
                    <w:rPr>
                      <w:rFonts w:hint="eastAsia" w:ascii="宋体" w:hAnsi="宋体" w:eastAsia="宋体" w:cs="宋体"/>
                      <w:color w:val="auto"/>
                      <w:sz w:val="21"/>
                      <w:szCs w:val="21"/>
                    </w:rPr>
                    <w:t>号及环评报告要求</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实际落实情况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90" w:hRule="atLeast"/>
                <w:jc w:val="center"/>
              </w:trPr>
              <w:tc>
                <w:tcPr>
                  <w:tcW w:w="2563" w:type="pct"/>
                  <w:tcBorders>
                    <w:tl2br w:val="nil"/>
                    <w:tr2bl w:val="nil"/>
                  </w:tcBorders>
                  <w:vAlign w:val="center"/>
                </w:tcPr>
                <w:p>
                  <w:pPr>
                    <w:keepNext w:val="0"/>
                    <w:keepLines w:val="0"/>
                    <w:pageBreakBefore w:val="0"/>
                    <w:kinsoku/>
                    <w:wordWrap/>
                    <w:overflowPunct/>
                    <w:topLinePunct w:val="0"/>
                    <w:autoSpaceDE/>
                    <w:autoSpaceDN/>
                    <w:bidi w:val="0"/>
                    <w:adjustRightInd w:val="0"/>
                    <w:snapToGrid w:val="0"/>
                    <w:spacing w:after="0" w:line="240" w:lineRule="auto"/>
                    <w:ind w:firstLine="480"/>
                    <w:textAlignment w:val="auto"/>
                    <w:rPr>
                      <w:rFonts w:hint="default" w:ascii="Times New Roman" w:hAnsi="Times New Roman" w:eastAsia="Times New Roman"/>
                      <w:sz w:val="21"/>
                      <w:szCs w:val="21"/>
                      <w:lang w:val="zh-CN"/>
                    </w:rPr>
                  </w:pPr>
                  <w:r>
                    <w:rPr>
                      <w:rFonts w:hint="default" w:ascii="Times New Roman" w:hAnsi="Times New Roman" w:eastAsia="Times New Roman"/>
                      <w:sz w:val="21"/>
                      <w:szCs w:val="21"/>
                      <w:lang w:val="zh-CN"/>
                    </w:rPr>
                    <w:t>宁国市刘宏甫石材加工厂石材加工项目位于宁国市汪溪街道殷白村汪溪石材加工集中市场。项目主要产品为毛板、抛光板、火烧板等石材，预计年产量8000吨。该项目经宁国经济技术开发区管理委员会备案，项目代码：</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2019-341862-30-03-010845。经我局研究，原则同意该项目建设。</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Times New Roman"/>
                      <w:sz w:val="21"/>
                      <w:szCs w:val="21"/>
                      <w:lang w:val="zh-CN"/>
                    </w:rPr>
                  </w:pPr>
                  <w:r>
                    <w:rPr>
                      <w:rFonts w:hint="default" w:ascii="Times New Roman" w:hAnsi="Times New Roman" w:eastAsia="Times New Roman"/>
                      <w:sz w:val="21"/>
                      <w:szCs w:val="21"/>
                      <w:lang w:val="zh-CN"/>
                    </w:rPr>
                    <w:t>落实</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FF"/>
                      <w:sz w:val="21"/>
                      <w:szCs w:val="21"/>
                      <w:lang w:val="en-US" w:eastAsia="zh-CN"/>
                    </w:rPr>
                  </w:pPr>
                  <w:r>
                    <w:rPr>
                      <w:rFonts w:hint="default" w:ascii="Times New Roman" w:hAnsi="Times New Roman" w:eastAsia="Times New Roman"/>
                      <w:sz w:val="21"/>
                      <w:szCs w:val="21"/>
                      <w:lang w:val="en-US" w:eastAsia="zh-CN"/>
                    </w:rPr>
                    <w:t>建设项目</w:t>
                  </w:r>
                  <w:r>
                    <w:rPr>
                      <w:rFonts w:hint="default" w:ascii="Times New Roman" w:hAnsi="Times New Roman" w:eastAsia="Times New Roman"/>
                      <w:sz w:val="21"/>
                      <w:szCs w:val="21"/>
                      <w:lang w:val="zh-CN"/>
                    </w:rPr>
                    <w:t>位于</w:t>
                  </w:r>
                  <w:r>
                    <w:rPr>
                      <w:rFonts w:hint="eastAsia" w:ascii="Times New Roman" w:hAnsi="Times New Roman" w:eastAsia="Times New Roman"/>
                      <w:sz w:val="21"/>
                      <w:szCs w:val="21"/>
                      <w:lang w:val="en-US" w:eastAsia="zh-CN"/>
                    </w:rPr>
                    <w:t>宁国市汪溪街道殷白村汪溪石材加工集中市场</w:t>
                  </w:r>
                  <w:r>
                    <w:rPr>
                      <w:rFonts w:hint="eastAsia" w:ascii="Times New Roman" w:hAnsi="Times New Roman" w:eastAsia="Times New Roman"/>
                      <w:sz w:val="21"/>
                      <w:szCs w:val="21"/>
                      <w:lang w:val="zh-CN" w:eastAsia="zh-CN"/>
                    </w:rPr>
                    <w:t>，</w:t>
                  </w:r>
                  <w:r>
                    <w:rPr>
                      <w:rFonts w:hint="default" w:ascii="Times New Roman" w:hAnsi="Times New Roman" w:eastAsia="Times New Roman"/>
                      <w:sz w:val="21"/>
                      <w:szCs w:val="21"/>
                      <w:lang w:val="en-US" w:eastAsia="zh-CN"/>
                    </w:rPr>
                    <w:t>建设位置未发生变化</w:t>
                  </w:r>
                  <w:r>
                    <w:rPr>
                      <w:rFonts w:hint="default" w:ascii="Times New Roman" w:hAnsi="Times New Roman" w:eastAsia="Times New Roman"/>
                      <w:sz w:val="21"/>
                      <w:szCs w:val="21"/>
                      <w:lang w:val="zh-CN"/>
                    </w:rPr>
                    <w:t>。项目主要产品为毛板、抛光板、火烧板等石材，预计年产量</w:t>
                  </w:r>
                  <w:r>
                    <w:rPr>
                      <w:rFonts w:hint="eastAsia" w:ascii="Times New Roman" w:hAnsi="Times New Roman" w:eastAsia="Times New Roman"/>
                      <w:sz w:val="21"/>
                      <w:szCs w:val="21"/>
                      <w:lang w:val="en-US" w:eastAsia="zh-CN"/>
                    </w:rPr>
                    <w:t>6</w:t>
                  </w:r>
                  <w:r>
                    <w:rPr>
                      <w:rFonts w:hint="default" w:ascii="Times New Roman" w:hAnsi="Times New Roman" w:eastAsia="Times New Roman"/>
                      <w:sz w:val="21"/>
                      <w:szCs w:val="21"/>
                      <w:lang w:val="zh-CN"/>
                    </w:rPr>
                    <w:t>000吨。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256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生产废水处理后循环使用，不外排。生活废水执行《污水综合排放标准》（GB8978-1996）一级标准；待与污水处理厂签订接管协议后，废水排放执行《污水综合排放标准》（GB8978-1996）中的三级标准及污水处理厂接管</w:t>
                  </w:r>
                  <w:r>
                    <w:rPr>
                      <w:rFonts w:hint="eastAsia" w:ascii="Times New Roman" w:hAnsi="Times New Roman" w:eastAsia="宋体"/>
                      <w:sz w:val="21"/>
                      <w:szCs w:val="21"/>
                      <w:lang w:val="en-US" w:eastAsia="zh-CN"/>
                    </w:rPr>
                    <w:t>标准。</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Times New Roman"/>
                      <w:sz w:val="21"/>
                      <w:szCs w:val="21"/>
                      <w:lang w:val="en-US" w:eastAsia="zh-CN"/>
                    </w:rPr>
                  </w:pPr>
                  <w:r>
                    <w:rPr>
                      <w:rFonts w:hint="eastAsia" w:ascii="Times New Roman" w:hAnsi="Times New Roman" w:eastAsia="Times New Roman"/>
                      <w:sz w:val="21"/>
                      <w:szCs w:val="21"/>
                      <w:lang w:val="en-US" w:eastAsia="zh-CN"/>
                    </w:rPr>
                    <w:t>落实</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FF"/>
                      <w:sz w:val="21"/>
                      <w:szCs w:val="21"/>
                      <w:lang w:val="en-US" w:eastAsia="zh-CN"/>
                    </w:rPr>
                  </w:pPr>
                  <w:r>
                    <w:rPr>
                      <w:rFonts w:hint="default" w:ascii="Times New Roman" w:hAnsi="Times New Roman" w:eastAsia="Times New Roman"/>
                      <w:sz w:val="21"/>
                      <w:szCs w:val="21"/>
                      <w:lang w:val="zh-CN"/>
                    </w:rPr>
                    <w:t>生产废水处理后循环使用，不外排。生活废水</w:t>
                  </w:r>
                  <w:r>
                    <w:rPr>
                      <w:rFonts w:hint="eastAsia" w:ascii="Times New Roman" w:hAnsi="Times New Roman" w:eastAsia="宋体"/>
                      <w:sz w:val="21"/>
                      <w:szCs w:val="21"/>
                      <w:lang w:val="en-US" w:eastAsia="zh-CN"/>
                    </w:rPr>
                    <w:t>满足</w:t>
                  </w:r>
                  <w:r>
                    <w:rPr>
                      <w:rFonts w:hint="default" w:ascii="Times New Roman" w:hAnsi="Times New Roman" w:eastAsia="Times New Roman"/>
                      <w:sz w:val="21"/>
                      <w:szCs w:val="21"/>
                      <w:lang w:val="zh-CN"/>
                    </w:rPr>
                    <w:t>《污水综合排放标准》（GB8978-1996）一级标准</w:t>
                  </w:r>
                  <w:r>
                    <w:rPr>
                      <w:rFonts w:hint="eastAsia" w:ascii="Times New Roman" w:hAnsi="Times New Roman" w:eastAsia="Times New Roman"/>
                      <w:sz w:val="21"/>
                      <w:szCs w:val="21"/>
                      <w:lang w:val="zh-CN"/>
                    </w:rPr>
                    <w:t>，</w:t>
                  </w:r>
                  <w:r>
                    <w:rPr>
                      <w:rFonts w:hint="eastAsia" w:ascii="Times New Roman" w:hAnsi="Times New Roman" w:eastAsia="宋体"/>
                      <w:sz w:val="21"/>
                      <w:szCs w:val="21"/>
                      <w:lang w:val="en-US" w:eastAsia="zh-CN"/>
                    </w:rPr>
                    <w:t>用于园区绿化浇灌，不外排。</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56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火烧机度气有组织排政参照执行上海市《工业炉密大气污染物排放标准》（0B31860-2014）表1排放选度；其他颗粒物排放及火烧机废气无组织排放执行《大气污染物综合排放标准》（GB16297-1996）二级标准及无组织排放监控浓度限值浓度。</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宋体"/>
                      <w:color w:val="auto"/>
                      <w:sz w:val="21"/>
                      <w:szCs w:val="21"/>
                      <w:lang w:val="en-US" w:eastAsia="zh-CN"/>
                    </w:rPr>
                  </w:pPr>
                  <w:r>
                    <w:rPr>
                      <w:rFonts w:hint="eastAsia" w:cs="宋体"/>
                      <w:color w:val="auto"/>
                      <w:sz w:val="21"/>
                      <w:szCs w:val="21"/>
                      <w:lang w:val="en-US" w:eastAsia="zh-CN"/>
                    </w:rPr>
                    <w:t>落实</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FF"/>
                      <w:sz w:val="21"/>
                      <w:szCs w:val="21"/>
                      <w:lang w:val="en-US"/>
                    </w:rPr>
                  </w:pPr>
                  <w:r>
                    <w:rPr>
                      <w:rFonts w:hint="eastAsia" w:cs="宋体"/>
                      <w:color w:val="auto"/>
                      <w:sz w:val="21"/>
                      <w:szCs w:val="21"/>
                      <w:lang w:val="en-US" w:eastAsia="zh-CN"/>
                    </w:rPr>
                    <w:t>火烧机燃烧废气经布袋除尘处理后通过15m排气筒排放，排放浓度满足相应限值要求</w:t>
                  </w:r>
                  <w:r>
                    <w:rPr>
                      <w:rFonts w:hint="eastAsia" w:ascii="宋体" w:hAnsi="宋体" w:eastAsia="宋体" w:cs="宋体"/>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5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82"/>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项目噪声排放执行《工业企业厂界环境噪声排放标准》（GB12348-2008）中的3类标准。</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落实</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color w:val="0000FF"/>
                      <w:sz w:val="21"/>
                      <w:szCs w:val="21"/>
                      <w:lang w:val="en-US" w:eastAsia="zh-CN"/>
                    </w:rPr>
                  </w:pPr>
                  <w:r>
                    <w:rPr>
                      <w:rFonts w:hint="eastAsia" w:ascii="宋体" w:hAnsi="宋体" w:eastAsia="宋体" w:cs="宋体"/>
                      <w:color w:val="auto"/>
                      <w:sz w:val="21"/>
                      <w:szCs w:val="21"/>
                      <w:lang w:val="en-US" w:eastAsia="zh-CN"/>
                    </w:rPr>
                    <w:t>选用低噪声设备，加装隔声罩，采取隔声、减振等措施，厂界噪声满足（GB 12348-2008）</w:t>
                  </w:r>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 xml:space="preserve"> 类功能区标准要求。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25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82"/>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项目一般固体废物执行《一般工业固体废物贮存、处置场污染控制标准》（GB18599一2001）及其2013年修改单规定。</w:t>
                  </w:r>
                </w:p>
              </w:tc>
              <w:tc>
                <w:tcPr>
                  <w:tcW w:w="2436" w:type="pct"/>
                  <w:tcBorders>
                    <w:tl2br w:val="nil"/>
                    <w:tr2bl w:val="nil"/>
                  </w:tcBorders>
                  <w:vAlign w:val="center"/>
                </w:tcPr>
                <w:p>
                  <w:pPr>
                    <w:pStyle w:val="24"/>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落实</w:t>
                  </w:r>
                </w:p>
                <w:p>
                  <w:pPr>
                    <w:pStyle w:val="24"/>
                    <w:keepNext w:val="0"/>
                    <w:keepLines w:val="0"/>
                    <w:pageBreakBefore w:val="0"/>
                    <w:kinsoku/>
                    <w:wordWrap/>
                    <w:overflowPunct/>
                    <w:topLinePunct w:val="0"/>
                    <w:autoSpaceDE/>
                    <w:autoSpaceDN/>
                    <w:bidi w:val="0"/>
                    <w:adjustRightInd w:val="0"/>
                    <w:snapToGrid w:val="0"/>
                    <w:spacing w:after="0" w:line="240" w:lineRule="auto"/>
                    <w:textAlignment w:val="auto"/>
                    <w:rPr>
                      <w:rFonts w:hint="default" w:cs="宋体"/>
                      <w:color w:val="0000FF"/>
                      <w:sz w:val="21"/>
                      <w:szCs w:val="21"/>
                      <w:lang w:val="en-US" w:eastAsia="zh-CN"/>
                    </w:rPr>
                  </w:pPr>
                  <w:r>
                    <w:rPr>
                      <w:rFonts w:hint="eastAsia" w:ascii="宋体" w:hAnsi="宋体" w:eastAsia="宋体" w:cs="宋体"/>
                      <w:color w:val="auto"/>
                      <w:sz w:val="21"/>
                      <w:szCs w:val="21"/>
                      <w:lang w:val="en-US" w:eastAsia="zh-CN"/>
                    </w:rPr>
                    <w:t>一般固废废集中收集后外售给其他公司回用，危险废物暂存于危险废物暂存间内，委托相关资质单位处理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1051" w:hRule="atLeast"/>
                <w:jc w:val="center"/>
              </w:trPr>
              <w:tc>
                <w:tcPr>
                  <w:tcW w:w="25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82"/>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项目总量控制指标烟（粉）尘为0.091t/a、S0</w:t>
                  </w:r>
                  <w:r>
                    <w:rPr>
                      <w:rFonts w:hint="eastAsia" w:ascii="Times New Roman" w:hAnsi="Times New Roman" w:eastAsia="宋体"/>
                      <w:sz w:val="21"/>
                      <w:szCs w:val="21"/>
                      <w:vertAlign w:val="subscript"/>
                      <w:lang w:val="en-US" w:eastAsia="zh-CN"/>
                    </w:rPr>
                    <w:t>2</w:t>
                  </w:r>
                  <w:r>
                    <w:rPr>
                      <w:rFonts w:hint="default" w:ascii="Times New Roman" w:hAnsi="Times New Roman" w:eastAsia="Times New Roman"/>
                      <w:sz w:val="21"/>
                      <w:szCs w:val="21"/>
                      <w:lang w:val="zh-CN"/>
                    </w:rPr>
                    <w:t>为0.452kg/a、NOx为5.269kg/a。</w:t>
                  </w:r>
                </w:p>
              </w:tc>
              <w:tc>
                <w:tcPr>
                  <w:tcW w:w="2436"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outlineLvl w:val="9"/>
                    <w:rPr>
                      <w:rFonts w:hint="default" w:ascii="宋体" w:hAnsi="宋体" w:eastAsia="宋体" w:cs="宋体"/>
                      <w:color w:val="auto"/>
                      <w:sz w:val="21"/>
                      <w:szCs w:val="21"/>
                      <w:lang w:val="en-US" w:eastAsia="zh-CN" w:bidi="ar-SA"/>
                    </w:rPr>
                  </w:pPr>
                  <w:r>
                    <w:rPr>
                      <w:rFonts w:hint="default" w:ascii="宋体" w:hAnsi="宋体" w:eastAsia="宋体" w:cs="宋体"/>
                      <w:color w:val="auto"/>
                      <w:sz w:val="21"/>
                      <w:szCs w:val="21"/>
                      <w:lang w:val="en-US" w:eastAsia="zh-CN" w:bidi="ar-SA"/>
                    </w:rPr>
                    <w:t>落实</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color w:val="0000FF"/>
                      <w:sz w:val="21"/>
                      <w:szCs w:val="21"/>
                      <w:lang w:val="en-US" w:eastAsia="zh-CN"/>
                    </w:rPr>
                  </w:pPr>
                  <w:r>
                    <w:rPr>
                      <w:rFonts w:hint="default" w:ascii="宋体" w:hAnsi="宋体" w:eastAsia="宋体" w:cs="宋体"/>
                      <w:color w:val="auto"/>
                      <w:sz w:val="21"/>
                      <w:szCs w:val="21"/>
                      <w:lang w:val="en-US" w:eastAsia="zh-CN" w:bidi="ar-SA"/>
                    </w:rPr>
                    <w:t>根据此次验收检测，</w:t>
                  </w:r>
                  <w:r>
                    <w:rPr>
                      <w:rFonts w:hint="eastAsia" w:ascii="宋体" w:hAnsi="宋体" w:eastAsia="宋体" w:cs="宋体"/>
                      <w:color w:val="auto"/>
                      <w:sz w:val="21"/>
                      <w:szCs w:val="21"/>
                      <w:lang w:val="en-US" w:eastAsia="zh-CN" w:bidi="ar-SA"/>
                    </w:rPr>
                    <w:t>项目排放废气</w:t>
                  </w:r>
                  <w:r>
                    <w:rPr>
                      <w:rFonts w:hint="default" w:ascii="宋体" w:hAnsi="宋体" w:eastAsia="宋体" w:cs="宋体"/>
                      <w:color w:val="auto"/>
                      <w:sz w:val="21"/>
                      <w:szCs w:val="21"/>
                      <w:lang w:val="zh-CN" w:eastAsia="zh-CN" w:bidi="ar-SA"/>
                    </w:rPr>
                    <w:t>烟（粉）尘为0.0</w:t>
                  </w:r>
                  <w:r>
                    <w:rPr>
                      <w:rFonts w:hint="eastAsia" w:ascii="宋体" w:hAnsi="宋体" w:eastAsia="宋体" w:cs="宋体"/>
                      <w:color w:val="auto"/>
                      <w:sz w:val="21"/>
                      <w:szCs w:val="21"/>
                      <w:lang w:val="en-US" w:eastAsia="zh-CN" w:bidi="ar-SA"/>
                    </w:rPr>
                    <w:t>021</w:t>
                  </w:r>
                  <w:r>
                    <w:rPr>
                      <w:rFonts w:hint="default" w:ascii="宋体" w:hAnsi="宋体" w:eastAsia="宋体" w:cs="宋体"/>
                      <w:color w:val="auto"/>
                      <w:sz w:val="21"/>
                      <w:szCs w:val="21"/>
                      <w:lang w:val="zh-CN" w:eastAsia="zh-CN" w:bidi="ar-SA"/>
                    </w:rPr>
                    <w:t>t/a</w:t>
                  </w:r>
                  <w:r>
                    <w:rPr>
                      <w:rFonts w:hint="eastAsia" w:ascii="宋体" w:hAnsi="宋体" w:eastAsia="宋体" w:cs="宋体"/>
                      <w:color w:val="auto"/>
                      <w:sz w:val="21"/>
                      <w:szCs w:val="21"/>
                      <w:lang w:val="zh-CN" w:eastAsia="zh-CN" w:bidi="ar-SA"/>
                    </w:rPr>
                    <w:t>、</w:t>
                  </w:r>
                  <w:r>
                    <w:rPr>
                      <w:rFonts w:hint="default" w:ascii="宋体" w:hAnsi="宋体" w:eastAsia="宋体" w:cs="宋体"/>
                      <w:color w:val="auto"/>
                      <w:sz w:val="21"/>
                      <w:szCs w:val="21"/>
                      <w:lang w:val="zh-CN" w:eastAsia="zh-CN" w:bidi="ar-SA"/>
                    </w:rPr>
                    <w:t>NOx为</w:t>
                  </w:r>
                  <w:r>
                    <w:rPr>
                      <w:rFonts w:hint="eastAsia" w:ascii="宋体" w:hAnsi="宋体" w:eastAsia="宋体" w:cs="宋体"/>
                      <w:color w:val="auto"/>
                      <w:sz w:val="21"/>
                      <w:szCs w:val="21"/>
                      <w:lang w:val="en-US" w:eastAsia="zh-CN" w:bidi="ar-SA"/>
                    </w:rPr>
                    <w:t>0.003</w:t>
                  </w:r>
                  <w:r>
                    <w:rPr>
                      <w:rFonts w:hint="default" w:ascii="宋体" w:hAnsi="宋体" w:eastAsia="宋体" w:cs="宋体"/>
                      <w:color w:val="auto"/>
                      <w:sz w:val="21"/>
                      <w:szCs w:val="21"/>
                      <w:lang w:val="zh-CN" w:eastAsia="zh-CN" w:bidi="ar-SA"/>
                    </w:rPr>
                    <w:t>kg/a</w:t>
                  </w:r>
                  <w:r>
                    <w:rPr>
                      <w:rFonts w:hint="default" w:ascii="宋体" w:hAnsi="宋体" w:eastAsia="宋体" w:cs="宋体"/>
                      <w:color w:val="auto"/>
                      <w:sz w:val="21"/>
                      <w:szCs w:val="21"/>
                      <w:lang w:val="en-US" w:eastAsia="zh-CN" w:bidi="ar-SA"/>
                    </w:rPr>
                    <w:t>满足总量控制指标</w:t>
                  </w:r>
                  <w:r>
                    <w:rPr>
                      <w:rFonts w:hint="eastAsia" w:ascii="宋体" w:hAnsi="宋体" w:eastAsia="宋体" w:cs="宋体"/>
                      <w:color w:val="auto"/>
                      <w:sz w:val="21"/>
                      <w:szCs w:val="21"/>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563"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82"/>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项目建成后严格执行排污许可制度。</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Times New Roman" w:cs="Times New Roman"/>
                      <w:sz w:val="21"/>
                      <w:szCs w:val="21"/>
                      <w:lang w:val="en-US" w:eastAsia="zh-CN" w:bidi="ar-SA"/>
                    </w:rPr>
                  </w:pPr>
                  <w:r>
                    <w:rPr>
                      <w:rFonts w:hint="eastAsia" w:ascii="Times New Roman" w:hAnsi="Times New Roman" w:eastAsia="Times New Roman" w:cs="Times New Roman"/>
                      <w:sz w:val="21"/>
                      <w:szCs w:val="21"/>
                      <w:lang w:val="en-US" w:eastAsia="zh-CN" w:bidi="ar-SA"/>
                    </w:rPr>
                    <w:t>落实</w:t>
                  </w:r>
                </w:p>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FF"/>
                      <w:sz w:val="21"/>
                      <w:szCs w:val="21"/>
                      <w:lang w:val="en-US" w:eastAsia="zh-CN"/>
                    </w:rPr>
                  </w:pPr>
                  <w:r>
                    <w:rPr>
                      <w:rFonts w:hint="eastAsia" w:ascii="Times New Roman" w:hAnsi="Times New Roman" w:eastAsia="Times New Roman" w:cs="Times New Roman"/>
                      <w:sz w:val="21"/>
                      <w:szCs w:val="21"/>
                      <w:lang w:val="en-US" w:eastAsia="zh-CN" w:bidi="ar-SA"/>
                    </w:rPr>
                    <w:t>已严格执行排污许可制度。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563"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ind w:firstLine="420" w:firstLineChars="200"/>
                    <w:jc w:val="both"/>
                    <w:textAlignment w:val="auto"/>
                    <w:rPr>
                      <w:rFonts w:hint="eastAsia" w:ascii="宋体" w:hAnsi="宋体" w:eastAsia="宋体" w:cs="宋体"/>
                      <w:color w:val="auto"/>
                      <w:sz w:val="21"/>
                      <w:szCs w:val="21"/>
                      <w:lang w:val="en-US" w:eastAsia="zh-CN"/>
                    </w:rPr>
                  </w:pPr>
                  <w:r>
                    <w:rPr>
                      <w:rFonts w:hint="default" w:ascii="Times New Roman" w:hAnsi="Times New Roman" w:eastAsia="Times New Roman"/>
                      <w:sz w:val="21"/>
                      <w:szCs w:val="21"/>
                      <w:lang w:val="zh-CN"/>
                    </w:rPr>
                    <w:t>项目竣工后，你厂应当按照国务院环境保护行政主管部门规定的标准和程序，对配套建设的环境保护设施进行验收，编制验收报告报我局并应当依法向社会公开验收报告。我局负责对建设项目环境保护设施设计、施工、验收、投入生产或者使用情况，以及有关环境影响评价文件确定的其他环境保护措施的落实情况，进行督查检查。</w:t>
                  </w:r>
                </w:p>
              </w:tc>
              <w:tc>
                <w:tcPr>
                  <w:tcW w:w="2436" w:type="pct"/>
                  <w:tcBorders>
                    <w:tl2br w:val="nil"/>
                    <w:tr2bl w:val="nil"/>
                  </w:tcBorders>
                  <w:vAlign w:val="center"/>
                </w:tcPr>
                <w:p>
                  <w:pPr>
                    <w:pStyle w:val="24"/>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color w:val="0000FF"/>
                      <w:sz w:val="21"/>
                      <w:szCs w:val="21"/>
                      <w:lang w:val="en-US" w:eastAsia="zh-CN"/>
                    </w:rPr>
                  </w:pPr>
                  <w:r>
                    <w:rPr>
                      <w:rFonts w:hint="eastAsia" w:ascii="Times New Roman" w:hAnsi="Times New Roman" w:eastAsia="Times New Roman"/>
                      <w:sz w:val="21"/>
                      <w:szCs w:val="21"/>
                      <w:lang w:val="en-US" w:eastAsia="zh-CN"/>
                    </w:rPr>
                    <w:t>落实，本次申请验收</w:t>
                  </w:r>
                </w:p>
              </w:tc>
            </w:tr>
          </w:tbl>
          <w:p>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八、</w:t>
            </w:r>
            <w:r>
              <w:rPr>
                <w:rFonts w:hint="default" w:ascii="Times New Roman" w:hAnsi="Times New Roman" w:eastAsia="宋体" w:cs="Times New Roman"/>
                <w:b/>
                <w:bCs/>
                <w:color w:val="auto"/>
                <w:sz w:val="24"/>
                <w:szCs w:val="24"/>
              </w:rPr>
              <w:t>验收监测质量保证及质量控制：</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本次验收检测采样及样品分析均严格按照《环境水质监测质量保证手册》、《环境空气监测质量保证手册》、《固定污染源质量保证和质量控制技术规范（试行）》及相关环境监测技术规范的要求进行，实施全程序质量控制。项目检测前，相关部门根据检测方案制定了详细的质量控制计划，并按照计划实施。 具体质控要求如下：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（1）生产处于正常。检测期间生产在大于 75％额定生产负荷的工况下稳定运行，各污染治理设施运行基本正常。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（2）检测分析方法采用国家有关部门颁布的标准（或推荐）方法。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（3）合理布设检测点位,保证各检测点位布设的科学性和可比性。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（4）检测人员经考核并 有合格证书，所有检测仪器经过计量部门检定并在有效期内。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（5）现场采样、保存及实验分析阶段均采取相关质控措施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①废水检测仪器符合国家有关标准或技术要求。采样、运输、保存、分析全过程严格按照《环境监测技术规范（水和废水部分）》和《环境水质监测质量保证手册》规定执行。按照质量控制计划的要求通过空白、平行样、质控标样等质控措施做好准确度和精密度控制。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②废气检测仪器均符合国家有关标准或技术要求，检测前按检测因子分别用标准气体和流量计对其进行校核（标定），在测试时保证其采样流量的准确 。采样和分析过程严格按照《固定源废气监测技术规范》（HJ/T 397-2007）、《固定污染源质量保证和质量控制技术规范（试行）》（HJ/T373-2007）和《空气和废气监测分析方法》（ 第四版 ）进行。采样时企业正常生产且工况达满负荷75%以 上，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color w:val="FF0000"/>
                <w:lang w:val="en-US" w:eastAsia="zh-CN"/>
              </w:rPr>
            </w:pPr>
            <w:r>
              <w:rPr>
                <w:rFonts w:ascii="Times New Roman" w:hAnsi="Times New Roman" w:eastAsia="宋体"/>
                <w:color w:val="auto"/>
                <w:sz w:val="24"/>
                <w:szCs w:val="24"/>
              </w:rPr>
              <w:t>③</w:t>
            </w:r>
            <w:r>
              <w:rPr>
                <w:rFonts w:hint="default" w:ascii="Times New Roman" w:hAnsi="Times New Roman" w:eastAsia="宋体" w:cs="Times New Roman"/>
                <w:color w:val="auto"/>
                <w:sz w:val="24"/>
                <w:szCs w:val="24"/>
              </w:rPr>
              <w:t xml:space="preserve">噪声检测方法按《工业企业厂界环境噪声排放标准》（GB12348-2008）要求进行，采用等效声级Leq（A）值为进行了评价，各项质控措施和结果满足相关规范的要求。评价量，统计声级 L10 、L50 、L90 作为依据，测量仪器为 AWA6228+型精密噪声频谱分析仪，校准仪器为AWA6221A声校准器，测量仪器使用前后均进行校准，前、后校准示值偏差不大于0.5dB （A）检测时气象条件满足检测技术要求，从而确保了检测数据的代表性、可靠性。 </w:t>
            </w:r>
          </w:p>
        </w:tc>
      </w:tr>
    </w:tbl>
    <w:tbl>
      <w:tblPr>
        <w:tblStyle w:val="18"/>
        <w:tblW w:w="53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1"/>
        <w:gridCol w:w="1"/>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4" w:hRule="atLeast"/>
        </w:trPr>
        <w:tc>
          <w:tcPr>
            <w:tcW w:w="5000" w:type="pct"/>
            <w:gridSpan w:val="3"/>
          </w:tcPr>
          <w:p>
            <w:pPr>
              <w:pStyle w:val="2"/>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九</w:t>
            </w:r>
            <w:r>
              <w:rPr>
                <w:rFonts w:hint="default" w:ascii="Times New Roman" w:hAnsi="Times New Roman" w:eastAsia="宋体" w:cs="Times New Roman"/>
                <w:b/>
                <w:bCs/>
                <w:color w:val="auto"/>
                <w:sz w:val="24"/>
                <w:szCs w:val="24"/>
                <w:lang w:val="en-US" w:eastAsia="zh-CN"/>
              </w:rPr>
              <w:t>、验收监测内容：</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、废气</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废气监测点位、</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频次见下表。</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废气监测内容一览表</w:t>
            </w:r>
          </w:p>
          <w:tbl>
            <w:tblPr>
              <w:tblStyle w:val="17"/>
              <w:tblW w:w="4992"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3273"/>
              <w:gridCol w:w="2979"/>
              <w:gridCol w:w="164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8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1828"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664"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91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58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1828" w:type="pct"/>
                  <w:tcBorders>
                    <w:tl2br w:val="nil"/>
                    <w:tr2bl w:val="nil"/>
                  </w:tcBorders>
                  <w:noWrap w:val="0"/>
                  <w:vAlign w:val="center"/>
                </w:tcPr>
                <w:p>
                  <w:pPr>
                    <w:pStyle w:val="2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cs="Times New Roman"/>
                      <w:color w:val="auto"/>
                      <w:sz w:val="21"/>
                      <w:szCs w:val="21"/>
                      <w:lang w:val="en-US" w:eastAsia="zh-CN"/>
                    </w:rPr>
                    <w:t>火烧机废气进、出口</w:t>
                  </w:r>
                </w:p>
              </w:tc>
              <w:tc>
                <w:tcPr>
                  <w:tcW w:w="1664" w:type="pct"/>
                  <w:tcBorders>
                    <w:tl2br w:val="nil"/>
                    <w:tr2bl w:val="nil"/>
                  </w:tcBorders>
                  <w:noWrap w:val="0"/>
                  <w:vAlign w:val="center"/>
                </w:tcPr>
                <w:p>
                  <w:pPr>
                    <w:pStyle w:val="24"/>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cs="Times New Roman"/>
                      <w:b w:val="0"/>
                      <w:bCs/>
                      <w:color w:val="auto"/>
                      <w:sz w:val="21"/>
                      <w:szCs w:val="21"/>
                      <w:lang w:val="en-US" w:eastAsia="zh-CN"/>
                    </w:rPr>
                    <w:t>颗粒物、SO</w:t>
                  </w:r>
                  <w:r>
                    <w:rPr>
                      <w:rFonts w:hint="eastAsia" w:ascii="Times New Roman" w:hAnsi="Times New Roman" w:cs="Times New Roman"/>
                      <w:b w:val="0"/>
                      <w:bCs/>
                      <w:color w:val="auto"/>
                      <w:sz w:val="21"/>
                      <w:szCs w:val="21"/>
                      <w:vertAlign w:val="subscript"/>
                      <w:lang w:val="en-US" w:eastAsia="zh-CN"/>
                    </w:rPr>
                    <w:t>2</w:t>
                  </w:r>
                  <w:r>
                    <w:rPr>
                      <w:rFonts w:hint="eastAsia" w:ascii="Times New Roman" w:hAnsi="Times New Roman" w:cs="Times New Roman"/>
                      <w:b w:val="0"/>
                      <w:bCs/>
                      <w:color w:val="auto"/>
                      <w:sz w:val="21"/>
                      <w:szCs w:val="21"/>
                      <w:lang w:val="en-US" w:eastAsia="zh-CN"/>
                    </w:rPr>
                    <w:t>、NOx</w:t>
                  </w:r>
                </w:p>
              </w:tc>
              <w:tc>
                <w:tcPr>
                  <w:tcW w:w="917"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3批次/</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点/</w:t>
                  </w:r>
                  <w:r>
                    <w:rPr>
                      <w:rFonts w:hint="eastAsia"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9"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1828" w:type="pct"/>
                  <w:tcBorders>
                    <w:tl2br w:val="nil"/>
                    <w:tr2bl w:val="nil"/>
                  </w:tcBorders>
                  <w:noWrap w:val="0"/>
                  <w:vAlign w:val="center"/>
                </w:tcPr>
                <w:p>
                  <w:pPr>
                    <w:pStyle w:val="24"/>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sz w:val="21"/>
                      <w:szCs w:val="21"/>
                      <w:lang w:val="en-US" w:eastAsia="zh-CN"/>
                    </w:rPr>
                    <w:t>厂界外三点</w:t>
                  </w:r>
                </w:p>
              </w:tc>
              <w:tc>
                <w:tcPr>
                  <w:tcW w:w="1664" w:type="pct"/>
                  <w:tcBorders>
                    <w:tl2br w:val="nil"/>
                    <w:tr2bl w:val="nil"/>
                  </w:tcBorders>
                  <w:noWrap w:val="0"/>
                  <w:vAlign w:val="center"/>
                </w:tcPr>
                <w:p>
                  <w:pPr>
                    <w:pStyle w:val="24"/>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color w:val="auto"/>
                      <w:sz w:val="21"/>
                      <w:szCs w:val="21"/>
                      <w:lang w:val="en-US" w:eastAsia="zh-CN" w:bidi="ar-SA"/>
                    </w:rPr>
                  </w:pPr>
                  <w:r>
                    <w:rPr>
                      <w:rFonts w:hint="eastAsia" w:ascii="Times New Roman" w:hAnsi="Times New Roman" w:cs="Times New Roman"/>
                      <w:b w:val="0"/>
                      <w:bCs/>
                      <w:color w:val="auto"/>
                      <w:sz w:val="21"/>
                      <w:szCs w:val="21"/>
                      <w:lang w:val="en-US" w:eastAsia="zh-CN"/>
                    </w:rPr>
                    <w:t>颗粒物、SO</w:t>
                  </w:r>
                  <w:r>
                    <w:rPr>
                      <w:rFonts w:hint="eastAsia" w:ascii="Times New Roman" w:hAnsi="Times New Roman" w:cs="Times New Roman"/>
                      <w:b w:val="0"/>
                      <w:bCs/>
                      <w:color w:val="auto"/>
                      <w:sz w:val="21"/>
                      <w:szCs w:val="21"/>
                      <w:vertAlign w:val="subscript"/>
                      <w:lang w:val="en-US" w:eastAsia="zh-CN"/>
                    </w:rPr>
                    <w:t>2</w:t>
                  </w:r>
                  <w:r>
                    <w:rPr>
                      <w:rFonts w:hint="eastAsia" w:ascii="Times New Roman" w:hAnsi="Times New Roman" w:cs="Times New Roman"/>
                      <w:b w:val="0"/>
                      <w:bCs/>
                      <w:color w:val="auto"/>
                      <w:sz w:val="21"/>
                      <w:szCs w:val="21"/>
                      <w:lang w:val="en-US" w:eastAsia="zh-CN"/>
                    </w:rPr>
                    <w:t>、NOx</w:t>
                  </w:r>
                </w:p>
              </w:tc>
              <w:tc>
                <w:tcPr>
                  <w:tcW w:w="917" w:type="pct"/>
                  <w:tcBorders>
                    <w:tl2br w:val="nil"/>
                    <w:tr2bl w:val="nil"/>
                  </w:tcBorders>
                  <w:noWrap w:val="0"/>
                  <w:vAlign w:val="center"/>
                </w:tcPr>
                <w:p>
                  <w:pPr>
                    <w:pStyle w:val="24"/>
                    <w:pageBreakBefore w:val="0"/>
                    <w:kinsoku/>
                    <w:wordWrap/>
                    <w:overflowPunct/>
                    <w:topLinePunct w:val="0"/>
                    <w:bidi w:val="0"/>
                    <w:spacing w:line="240" w:lineRule="auto"/>
                    <w:jc w:val="left"/>
                    <w:textAlignment w:val="auto"/>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sz w:val="21"/>
                      <w:szCs w:val="21"/>
                      <w:lang w:val="en-US" w:eastAsia="zh-CN"/>
                    </w:rPr>
                    <w:t>3批次/</w:t>
                  </w:r>
                  <w:r>
                    <w:rPr>
                      <w:rFonts w:hint="default"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点/2天</w:t>
                  </w:r>
                </w:p>
              </w:tc>
            </w:tr>
          </w:tbl>
          <w:p>
            <w:pPr>
              <w:pStyle w:val="2"/>
              <w:keepNext w:val="0"/>
              <w:keepLines w:val="0"/>
              <w:pageBreakBefore w:val="0"/>
              <w:widowControl w:val="0"/>
              <w:numPr>
                <w:ilvl w:val="0"/>
                <w:numId w:val="4"/>
              </w:numPr>
              <w:kinsoku/>
              <w:wordWrap/>
              <w:overflowPunct/>
              <w:topLinePunct w:val="0"/>
              <w:autoSpaceDE/>
              <w:autoSpaceDN/>
              <w:bidi w:val="0"/>
              <w:adjustRightInd/>
              <w:snapToGrid/>
              <w:spacing w:after="0" w:line="520" w:lineRule="exact"/>
              <w:ind w:left="180" w:leftChars="0" w:firstLine="480" w:firstLineChars="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废水</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废水监测点位、项目、频次见下表。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 xml:space="preserve">2 </w:t>
            </w:r>
            <w:r>
              <w:rPr>
                <w:rFonts w:hint="default" w:ascii="Times New Roman" w:hAnsi="Times New Roman" w:eastAsia="宋体" w:cs="Times New Roman"/>
                <w:b/>
                <w:bCs/>
                <w:sz w:val="21"/>
                <w:szCs w:val="21"/>
                <w:lang w:val="en-US" w:eastAsia="zh-CN"/>
              </w:rPr>
              <w:t>废水监测内容一览表</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4225"/>
              <w:gridCol w:w="234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tcBorders>
                    <w:tl2br w:val="nil"/>
                    <w:tr2bl w:val="nil"/>
                  </w:tcBorders>
                  <w:noWrap w:val="0"/>
                  <w:vAlign w:val="center"/>
                </w:tcPr>
                <w:p>
                  <w:pPr>
                    <w:pStyle w:val="24"/>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w:t>
                  </w:r>
                </w:p>
              </w:tc>
              <w:tc>
                <w:tcPr>
                  <w:tcW w:w="4225" w:type="dxa"/>
                  <w:tcBorders>
                    <w:tl2br w:val="nil"/>
                    <w:tr2bl w:val="nil"/>
                  </w:tcBorders>
                  <w:noWrap w:val="0"/>
                  <w:vAlign w:val="center"/>
                </w:tcPr>
                <w:p>
                  <w:pPr>
                    <w:pStyle w:val="24"/>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2346" w:type="dxa"/>
                  <w:tcBorders>
                    <w:tl2br w:val="nil"/>
                    <w:tr2bl w:val="nil"/>
                  </w:tcBorders>
                  <w:noWrap w:val="0"/>
                  <w:vAlign w:val="center"/>
                </w:tcPr>
                <w:p>
                  <w:pPr>
                    <w:pStyle w:val="24"/>
                    <w:spacing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05" w:type="dxa"/>
                  <w:tcBorders>
                    <w:tl2br w:val="nil"/>
                    <w:tr2bl w:val="nil"/>
                  </w:tcBorders>
                  <w:noWrap w:val="0"/>
                  <w:vAlign w:val="center"/>
                </w:tcPr>
                <w:p>
                  <w:pPr>
                    <w:pStyle w:val="24"/>
                    <w:spacing w:line="240" w:lineRule="auto"/>
                    <w:rPr>
                      <w:rFonts w:hint="default" w:ascii="Times New Roman" w:hAnsi="Times New Roman" w:eastAsia="宋体" w:cs="Times New Roman"/>
                      <w:sz w:val="21"/>
                      <w:szCs w:val="21"/>
                      <w:lang w:val="en-US"/>
                    </w:rPr>
                  </w:pPr>
                  <w:r>
                    <w:rPr>
                      <w:rFonts w:hint="eastAsia" w:ascii="Times New Roman" w:hAnsi="Times New Roman" w:cs="Times New Roman"/>
                      <w:sz w:val="21"/>
                      <w:szCs w:val="21"/>
                      <w:lang w:val="en-US" w:eastAsia="zh-CN"/>
                    </w:rPr>
                    <w:t>污水处理站进、出口</w:t>
                  </w:r>
                </w:p>
              </w:tc>
              <w:tc>
                <w:tcPr>
                  <w:tcW w:w="4225" w:type="dxa"/>
                  <w:tcBorders>
                    <w:tl2br w:val="nil"/>
                    <w:tr2bl w:val="nil"/>
                  </w:tcBorders>
                  <w:noWrap w:val="0"/>
                  <w:vAlign w:val="center"/>
                </w:tcPr>
                <w:p>
                  <w:pPr>
                    <w:pStyle w:val="24"/>
                    <w:spacing w:line="240" w:lineRule="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r>
                    <w:rPr>
                      <w:rFonts w:hint="eastAsia" w:ascii="Times New Roman" w:hAnsi="Times New Roman" w:cs="Times New Roman"/>
                      <w:sz w:val="21"/>
                      <w:szCs w:val="21"/>
                      <w:lang w:val="en-US" w:eastAsia="zh-CN"/>
                    </w:rPr>
                    <w:t>值</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、氨氮、SS</w:t>
                  </w:r>
                </w:p>
              </w:tc>
              <w:tc>
                <w:tcPr>
                  <w:tcW w:w="2346" w:type="dxa"/>
                  <w:tcBorders>
                    <w:tl2br w:val="nil"/>
                    <w:tr2bl w:val="nil"/>
                  </w:tcBorders>
                  <w:noWrap w:val="0"/>
                  <w:vAlign w:val="center"/>
                </w:tcPr>
                <w:p>
                  <w:pPr>
                    <w:pStyle w:val="24"/>
                    <w:spacing w:line="240" w:lineRule="auto"/>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rPr>
                    <w:t>批次/</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点/</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rPr>
                    <w:t>天</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厂界噪声</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在厂界外共布设4个</w:t>
            </w:r>
            <w:r>
              <w:rPr>
                <w:rFonts w:hint="eastAsia" w:ascii="Times New Roman" w:hAnsi="Times New Roman" w:eastAsia="宋体" w:cs="Times New Roman"/>
                <w:color w:val="auto"/>
                <w:sz w:val="24"/>
                <w:szCs w:val="24"/>
                <w:lang w:val="en-US" w:eastAsia="zh-CN"/>
              </w:rPr>
              <w:t>监</w:t>
            </w:r>
            <w:r>
              <w:rPr>
                <w:rFonts w:hint="default" w:ascii="Times New Roman" w:hAnsi="Times New Roman" w:eastAsia="宋体" w:cs="Times New Roman"/>
                <w:color w:val="auto"/>
                <w:sz w:val="24"/>
                <w:szCs w:val="24"/>
                <w:lang w:val="en-US" w:eastAsia="zh-CN"/>
              </w:rPr>
              <w:t>测点。监测频次为连续2天，每天昼</w:t>
            </w:r>
            <w:r>
              <w:rPr>
                <w:rFonts w:hint="eastAsia" w:ascii="Times New Roman" w:hAnsi="Times New Roman" w:eastAsia="宋体" w:cs="Times New Roman"/>
                <w:color w:val="auto"/>
                <w:sz w:val="24"/>
                <w:szCs w:val="24"/>
                <w:lang w:val="en-US" w:eastAsia="zh-CN"/>
              </w:rPr>
              <w:t>间</w:t>
            </w:r>
            <w:r>
              <w:rPr>
                <w:rFonts w:hint="default" w:ascii="Times New Roman" w:hAnsi="Times New Roman" w:eastAsia="宋体" w:cs="Times New Roman"/>
                <w:color w:val="auto"/>
                <w:sz w:val="24"/>
                <w:szCs w:val="24"/>
                <w:lang w:val="en-US" w:eastAsia="zh-CN"/>
              </w:rPr>
              <w:t>监测一次。</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en-US" w:eastAsia="zh-CN"/>
              </w:rPr>
              <w:t>噪声监测内容一览表</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119"/>
              <w:gridCol w:w="2326"/>
              <w:gridCol w:w="2518"/>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98" w:type="pct"/>
                  <w:tcBorders>
                    <w:tl2br w:val="nil"/>
                    <w:tr2bl w:val="nil"/>
                  </w:tcBorders>
                  <w:noWrap w:val="0"/>
                  <w:vAlign w:val="center"/>
                </w:tcPr>
                <w:p>
                  <w:pPr>
                    <w:pStyle w:val="2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1297" w:type="pct"/>
                  <w:tcBorders>
                    <w:tl2br w:val="nil"/>
                    <w:tr2bl w:val="nil"/>
                  </w:tcBorders>
                  <w:noWrap w:val="0"/>
                  <w:vAlign w:val="center"/>
                </w:tcPr>
                <w:p>
                  <w:pPr>
                    <w:pStyle w:val="2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1404" w:type="pct"/>
                  <w:tcBorders>
                    <w:tl2br w:val="nil"/>
                    <w:tr2bl w:val="nil"/>
                  </w:tcBorders>
                  <w:noWrap w:val="0"/>
                  <w:vAlign w:val="center"/>
                </w:tcPr>
                <w:p>
                  <w:pPr>
                    <w:pStyle w:val="2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06" w:hRule="exact"/>
                <w:jc w:val="center"/>
              </w:trPr>
              <w:tc>
                <w:tcPr>
                  <w:tcW w:w="2298" w:type="pct"/>
                  <w:tcBorders>
                    <w:tl2br w:val="nil"/>
                    <w:tr2bl w:val="nil"/>
                  </w:tcBorders>
                  <w:noWrap w:val="0"/>
                  <w:vAlign w:val="center"/>
                </w:tcPr>
                <w:p>
                  <w:pPr>
                    <w:pStyle w:val="2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在厂界四周各布置1个监测点，共4个</w:t>
                  </w:r>
                </w:p>
              </w:tc>
              <w:tc>
                <w:tcPr>
                  <w:tcW w:w="1297" w:type="pct"/>
                  <w:tcBorders>
                    <w:tl2br w:val="nil"/>
                    <w:tr2bl w:val="nil"/>
                  </w:tcBorders>
                  <w:noWrap w:val="0"/>
                  <w:vAlign w:val="center"/>
                </w:tcPr>
                <w:p>
                  <w:pPr>
                    <w:pStyle w:val="2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噪声等效声级</w:t>
                  </w:r>
                </w:p>
              </w:tc>
              <w:tc>
                <w:tcPr>
                  <w:tcW w:w="1404" w:type="pct"/>
                  <w:tcBorders>
                    <w:tl2br w:val="nil"/>
                    <w:tr2bl w:val="nil"/>
                  </w:tcBorders>
                  <w:noWrap w:val="0"/>
                  <w:vAlign w:val="center"/>
                </w:tcPr>
                <w:p>
                  <w:pPr>
                    <w:pStyle w:val="2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连续2天，</w:t>
                  </w:r>
                  <w:r>
                    <w:rPr>
                      <w:rFonts w:hint="eastAsia" w:ascii="Times New Roman" w:hAnsi="Times New Roman" w:eastAsia="宋体" w:cs="Times New Roman"/>
                      <w:color w:val="auto"/>
                      <w:sz w:val="21"/>
                      <w:szCs w:val="21"/>
                      <w:lang w:eastAsia="zh-CN"/>
                    </w:rPr>
                    <w:t>昼</w:t>
                  </w:r>
                  <w:r>
                    <w:rPr>
                      <w:rFonts w:hint="eastAsia" w:ascii="Times New Roman" w:hAnsi="Times New Roman" w:eastAsia="宋体" w:cs="Times New Roman"/>
                      <w:color w:val="auto"/>
                      <w:sz w:val="21"/>
                      <w:szCs w:val="21"/>
                      <w:lang w:val="en-US" w:eastAsia="zh-CN"/>
                    </w:rPr>
                    <w:t>间监测</w:t>
                  </w:r>
                  <w:r>
                    <w:rPr>
                      <w:rFonts w:hint="eastAsia" w:ascii="Times New Roman" w:hAnsi="Times New Roman" w:eastAsia="宋体" w:cs="Times New Roman"/>
                      <w:color w:val="auto"/>
                      <w:sz w:val="21"/>
                      <w:szCs w:val="21"/>
                      <w:lang w:eastAsia="zh-CN"/>
                    </w:rPr>
                    <w:t>一次</w:t>
                  </w:r>
                </w:p>
              </w:tc>
            </w:tr>
          </w:tbl>
          <w:p>
            <w:pPr>
              <w:widowControl w:val="0"/>
              <w:jc w:val="both"/>
              <w:rPr>
                <w:color w:val="FF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365" w:type="pct"/>
          <w:trHeight w:val="13874" w:hRule="atLeast"/>
        </w:trPr>
        <w:tc>
          <w:tcPr>
            <w:tcW w:w="4634" w:type="pct"/>
          </w:tcPr>
          <w:p>
            <w:pPr>
              <w:pStyle w:val="2"/>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十</w:t>
            </w:r>
            <w:r>
              <w:rPr>
                <w:rFonts w:hint="default" w:ascii="Times New Roman" w:hAnsi="Times New Roman" w:eastAsia="宋体" w:cs="Times New Roman"/>
                <w:b/>
                <w:bCs/>
                <w:color w:val="auto"/>
                <w:sz w:val="24"/>
                <w:szCs w:val="24"/>
                <w:lang w:val="en-US" w:eastAsia="zh-CN"/>
              </w:rPr>
              <w:t>、验收监测期间生产工况记录：</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阶段性</w:t>
            </w:r>
            <w:r>
              <w:rPr>
                <w:rFonts w:hint="default" w:ascii="Times New Roman" w:hAnsi="Times New Roman" w:eastAsia="宋体" w:cs="Times New Roman"/>
                <w:color w:val="auto"/>
                <w:sz w:val="24"/>
                <w:szCs w:val="24"/>
                <w:lang w:val="en-US" w:eastAsia="zh-CN"/>
              </w:rPr>
              <w:t>验收监测于202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12月28日~29日</w:t>
            </w:r>
            <w:r>
              <w:rPr>
                <w:rFonts w:hint="default" w:ascii="Times New Roman" w:hAnsi="Times New Roman" w:eastAsia="宋体" w:cs="Times New Roman"/>
                <w:color w:val="auto"/>
                <w:sz w:val="24"/>
                <w:szCs w:val="24"/>
                <w:lang w:val="en-US" w:eastAsia="zh-CN"/>
              </w:rPr>
              <w:t>进行，监测期间公司生产正常，生产负荷为</w:t>
            </w:r>
            <w:r>
              <w:rPr>
                <w:rFonts w:hint="eastAsia" w:ascii="Times New Roman" w:hAnsi="Times New Roman" w:eastAsia="宋体" w:cs="Times New Roman"/>
                <w:color w:val="auto"/>
                <w:sz w:val="24"/>
                <w:szCs w:val="24"/>
                <w:lang w:val="en-US" w:eastAsia="zh-CN"/>
              </w:rPr>
              <w:t>89.8~97.0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000000"/>
                <w:sz w:val="24"/>
                <w:szCs w:val="24"/>
                <w:lang w:val="en-US" w:eastAsia="zh-CN"/>
              </w:rPr>
              <w:t>满足建设项目竣工环境保护验收监测对工况应达到75%以上生产负荷的要求，监测结果具有代表性。</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0</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生产工况统计表</w:t>
            </w:r>
          </w:p>
          <w:tbl>
            <w:tblPr>
              <w:tblStyle w:val="18"/>
              <w:tblW w:w="498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027"/>
              <w:gridCol w:w="1645"/>
              <w:gridCol w:w="1645"/>
              <w:gridCol w:w="164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92"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生产日期</w:t>
                  </w:r>
                </w:p>
              </w:tc>
              <w:tc>
                <w:tcPr>
                  <w:tcW w:w="1225"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产品名称</w:t>
                  </w:r>
                </w:p>
              </w:tc>
              <w:tc>
                <w:tcPr>
                  <w:tcW w:w="99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w:t>
                  </w:r>
                  <w:r>
                    <w:rPr>
                      <w:rFonts w:hint="default" w:ascii="Times New Roman" w:hAnsi="Times New Roman" w:eastAsia="宋体" w:cs="Times New Roman"/>
                      <w:color w:val="auto"/>
                      <w:sz w:val="21"/>
                      <w:szCs w:val="21"/>
                      <w:lang w:val="en-US" w:eastAsia="zh-CN"/>
                    </w:rPr>
                    <w:t>产量</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（吨/d）</w:t>
                  </w:r>
                </w:p>
              </w:tc>
              <w:tc>
                <w:tcPr>
                  <w:tcW w:w="994"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设计产量</w:t>
                  </w:r>
                </w:p>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（吨/d）</w:t>
                  </w:r>
                </w:p>
              </w:tc>
              <w:tc>
                <w:tcPr>
                  <w:tcW w:w="99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产能比</w:t>
                  </w:r>
                  <w:r>
                    <w:rPr>
                      <w:rFonts w:hint="eastAsia"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宋体" w:hAnsi="宋体" w:eastAsia="宋体" w:cs="Times New Roman"/>
                      <w:color w:val="auto"/>
                      <w:sz w:val="21"/>
                      <w:szCs w:val="20"/>
                      <w:lang w:val="en-US" w:eastAsia="zh-CN" w:bidi="ar-SA"/>
                    </w:rPr>
                  </w:pPr>
                  <w:r>
                    <w:rPr>
                      <w:rFonts w:hint="eastAsia" w:ascii="宋体" w:hAnsi="宋体" w:eastAsia="宋体" w:cs="Times New Roman"/>
                      <w:color w:val="auto"/>
                      <w:sz w:val="21"/>
                      <w:szCs w:val="20"/>
                      <w:lang w:val="en-US" w:eastAsia="zh-CN" w:bidi="ar-SA"/>
                    </w:rPr>
                    <w:t>2021.12.28</w:t>
                  </w:r>
                </w:p>
              </w:tc>
              <w:tc>
                <w:tcPr>
                  <w:tcW w:w="12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宋体" w:hAnsi="宋体" w:eastAsia="宋体" w:cs="Times New Roman"/>
                      <w:color w:val="auto"/>
                      <w:sz w:val="21"/>
                      <w:szCs w:val="20"/>
                      <w:lang w:val="en-US" w:eastAsia="zh-CN" w:bidi="ar-SA"/>
                    </w:rPr>
                  </w:pPr>
                  <w:r>
                    <w:rPr>
                      <w:rFonts w:hint="eastAsia" w:ascii="宋体" w:hAnsi="宋体" w:eastAsia="宋体" w:cs="Times New Roman"/>
                      <w:color w:val="auto"/>
                      <w:sz w:val="21"/>
                      <w:szCs w:val="20"/>
                      <w:lang w:val="en-US" w:eastAsia="zh-CN" w:bidi="ar-SA"/>
                    </w:rPr>
                    <w:t>毛板</w:t>
                  </w:r>
                </w:p>
              </w:tc>
              <w:tc>
                <w:tcPr>
                  <w:tcW w:w="994" w:type="pct"/>
                  <w:tcBorders>
                    <w:tl2br w:val="nil"/>
                    <w:tr2bl w:val="nil"/>
                  </w:tcBorders>
                  <w:vAlign w:val="center"/>
                </w:tcPr>
                <w:p>
                  <w:pPr>
                    <w:pStyle w:val="24"/>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15</w:t>
                  </w:r>
                </w:p>
              </w:tc>
              <w:tc>
                <w:tcPr>
                  <w:tcW w:w="994" w:type="pct"/>
                  <w:tcBorders>
                    <w:tl2br w:val="nil"/>
                    <w:tr2bl w:val="nil"/>
                  </w:tcBorders>
                  <w:vAlign w:val="center"/>
                </w:tcPr>
                <w:p>
                  <w:pPr>
                    <w:pStyle w:val="24"/>
                    <w:widowControl w:val="0"/>
                    <w:ind w:firstLine="0" w:firstLineChars="0"/>
                    <w:rPr>
                      <w:rFonts w:hint="eastAsia"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16.7</w:t>
                  </w:r>
                </w:p>
              </w:tc>
              <w:tc>
                <w:tcPr>
                  <w:tcW w:w="99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宋体" w:hAnsi="宋体" w:eastAsia="宋体" w:cs="Times New Roman"/>
                      <w:color w:val="auto"/>
                      <w:sz w:val="21"/>
                      <w:szCs w:val="20"/>
                      <w:lang w:val="en-US" w:eastAsia="zh-CN" w:bidi="ar-SA"/>
                    </w:rPr>
                  </w:pPr>
                </w:p>
              </w:tc>
              <w:tc>
                <w:tcPr>
                  <w:tcW w:w="12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宋体" w:hAnsi="宋体" w:eastAsia="宋体" w:cs="Times New Roman"/>
                      <w:color w:val="auto"/>
                      <w:sz w:val="21"/>
                      <w:szCs w:val="20"/>
                      <w:lang w:val="en-US" w:eastAsia="zh-CN" w:bidi="ar-SA"/>
                    </w:rPr>
                  </w:pPr>
                  <w:r>
                    <w:rPr>
                      <w:rFonts w:hint="eastAsia" w:ascii="宋体" w:hAnsi="宋体" w:eastAsia="宋体" w:cs="Times New Roman"/>
                      <w:color w:val="auto"/>
                      <w:sz w:val="21"/>
                      <w:szCs w:val="20"/>
                      <w:lang w:val="en-US" w:eastAsia="zh-CN" w:bidi="ar-SA"/>
                    </w:rPr>
                    <w:t>火烧板</w:t>
                  </w:r>
                </w:p>
              </w:tc>
              <w:tc>
                <w:tcPr>
                  <w:tcW w:w="994" w:type="pct"/>
                  <w:tcBorders>
                    <w:tl2br w:val="nil"/>
                    <w:tr2bl w:val="nil"/>
                  </w:tcBorders>
                  <w:vAlign w:val="center"/>
                </w:tcPr>
                <w:p>
                  <w:pPr>
                    <w:pStyle w:val="24"/>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3</w:t>
                  </w:r>
                </w:p>
              </w:tc>
              <w:tc>
                <w:tcPr>
                  <w:tcW w:w="994" w:type="pct"/>
                  <w:tcBorders>
                    <w:tl2br w:val="nil"/>
                    <w:tr2bl w:val="nil"/>
                  </w:tcBorders>
                  <w:vAlign w:val="center"/>
                </w:tcPr>
                <w:p>
                  <w:pPr>
                    <w:pStyle w:val="24"/>
                    <w:widowControl w:val="0"/>
                    <w:ind w:firstLine="0" w:firstLineChars="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3.3</w:t>
                  </w:r>
                </w:p>
              </w:tc>
              <w:tc>
                <w:tcPr>
                  <w:tcW w:w="99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宋体" w:hAnsi="宋体" w:eastAsia="宋体" w:cs="Times New Roman"/>
                      <w:color w:val="auto"/>
                      <w:sz w:val="21"/>
                      <w:szCs w:val="20"/>
                      <w:lang w:val="en-US" w:eastAsia="zh-CN" w:bidi="ar-SA"/>
                    </w:rPr>
                  </w:pPr>
                  <w:r>
                    <w:rPr>
                      <w:rFonts w:hint="eastAsia" w:ascii="宋体" w:hAnsi="宋体" w:eastAsia="宋体" w:cs="Times New Roman"/>
                      <w:color w:val="auto"/>
                      <w:sz w:val="21"/>
                      <w:szCs w:val="20"/>
                      <w:lang w:val="en-US" w:eastAsia="zh-CN" w:bidi="ar-SA"/>
                    </w:rPr>
                    <w:t>2021.12.29</w:t>
                  </w:r>
                </w:p>
              </w:tc>
              <w:tc>
                <w:tcPr>
                  <w:tcW w:w="12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宋体" w:hAnsi="宋体" w:eastAsia="宋体" w:cs="Times New Roman"/>
                      <w:color w:val="auto"/>
                      <w:sz w:val="21"/>
                      <w:szCs w:val="20"/>
                      <w:lang w:val="en-US" w:eastAsia="zh-CN" w:bidi="ar-SA"/>
                    </w:rPr>
                  </w:pPr>
                  <w:r>
                    <w:rPr>
                      <w:rFonts w:hint="eastAsia" w:ascii="宋体" w:hAnsi="宋体" w:eastAsia="宋体" w:cs="Times New Roman"/>
                      <w:color w:val="auto"/>
                      <w:sz w:val="21"/>
                      <w:szCs w:val="20"/>
                      <w:lang w:val="en-US" w:eastAsia="zh-CN" w:bidi="ar-SA"/>
                    </w:rPr>
                    <w:t>毛板</w:t>
                  </w:r>
                </w:p>
              </w:tc>
              <w:tc>
                <w:tcPr>
                  <w:tcW w:w="994" w:type="pct"/>
                  <w:tcBorders>
                    <w:tl2br w:val="nil"/>
                    <w:tr2bl w:val="nil"/>
                  </w:tcBorders>
                  <w:vAlign w:val="center"/>
                </w:tcPr>
                <w:p>
                  <w:pPr>
                    <w:pStyle w:val="24"/>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15.5</w:t>
                  </w:r>
                </w:p>
              </w:tc>
              <w:tc>
                <w:tcPr>
                  <w:tcW w:w="1645" w:type="dxa"/>
                  <w:tcBorders>
                    <w:tl2br w:val="nil"/>
                    <w:tr2bl w:val="nil"/>
                  </w:tcBorders>
                  <w:vAlign w:val="center"/>
                </w:tcPr>
                <w:p>
                  <w:pPr>
                    <w:pStyle w:val="24"/>
                    <w:widowControl w:val="0"/>
                    <w:ind w:firstLine="0" w:firstLineChars="0"/>
                    <w:rPr>
                      <w:rFonts w:hint="eastAsia"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16.7</w:t>
                  </w:r>
                </w:p>
              </w:tc>
              <w:tc>
                <w:tcPr>
                  <w:tcW w:w="99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92.8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2"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rPr>
                  </w:pPr>
                </w:p>
              </w:tc>
              <w:tc>
                <w:tcPr>
                  <w:tcW w:w="122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eastAsia" w:ascii="宋体" w:hAnsi="宋体" w:eastAsia="宋体" w:cs="Times New Roman"/>
                      <w:color w:val="auto"/>
                      <w:sz w:val="21"/>
                      <w:szCs w:val="20"/>
                      <w:lang w:val="en-US" w:eastAsia="zh-CN" w:bidi="ar-SA"/>
                    </w:rPr>
                  </w:pPr>
                  <w:r>
                    <w:rPr>
                      <w:rFonts w:hint="eastAsia" w:ascii="宋体" w:hAnsi="宋体" w:eastAsia="宋体" w:cs="Times New Roman"/>
                      <w:color w:val="auto"/>
                      <w:sz w:val="21"/>
                      <w:szCs w:val="20"/>
                      <w:lang w:val="en-US" w:eastAsia="zh-CN" w:bidi="ar-SA"/>
                    </w:rPr>
                    <w:t>火烧板</w:t>
                  </w:r>
                </w:p>
              </w:tc>
              <w:tc>
                <w:tcPr>
                  <w:tcW w:w="994" w:type="pct"/>
                  <w:tcBorders>
                    <w:tl2br w:val="nil"/>
                    <w:tr2bl w:val="nil"/>
                  </w:tcBorders>
                  <w:vAlign w:val="center"/>
                </w:tcPr>
                <w:p>
                  <w:pPr>
                    <w:pStyle w:val="24"/>
                    <w:widowControl w:val="0"/>
                    <w:rPr>
                      <w:rFonts w:hint="default"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3.2</w:t>
                  </w:r>
                </w:p>
              </w:tc>
              <w:tc>
                <w:tcPr>
                  <w:tcW w:w="1645" w:type="dxa"/>
                  <w:tcBorders>
                    <w:tl2br w:val="nil"/>
                    <w:tr2bl w:val="nil"/>
                  </w:tcBorders>
                  <w:vAlign w:val="center"/>
                </w:tcPr>
                <w:p>
                  <w:pPr>
                    <w:pStyle w:val="24"/>
                    <w:widowControl w:val="0"/>
                    <w:ind w:firstLine="0" w:firstLineChars="0"/>
                    <w:rPr>
                      <w:rFonts w:hint="eastAsia" w:ascii="宋体" w:hAnsi="宋体" w:eastAsia="宋体" w:cs="Times New Roman"/>
                      <w:color w:val="auto"/>
                      <w:sz w:val="21"/>
                      <w:szCs w:val="20"/>
                      <w:lang w:val="en-US" w:eastAsia="zh-CN" w:bidi="ar-SA"/>
                    </w:rPr>
                  </w:pPr>
                  <w:r>
                    <w:rPr>
                      <w:rFonts w:hint="eastAsia" w:cs="Times New Roman"/>
                      <w:color w:val="auto"/>
                      <w:sz w:val="21"/>
                      <w:szCs w:val="20"/>
                      <w:lang w:val="en-US" w:eastAsia="zh-CN" w:bidi="ar-SA"/>
                    </w:rPr>
                    <w:t>3.3</w:t>
                  </w:r>
                </w:p>
              </w:tc>
              <w:tc>
                <w:tcPr>
                  <w:tcW w:w="993"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97.0</w:t>
                  </w:r>
                </w:p>
              </w:tc>
            </w:tr>
          </w:tbl>
          <w:p>
            <w:pPr>
              <w:widowControl w:val="0"/>
              <w:jc w:val="both"/>
              <w:rPr>
                <w:color w:val="FF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65" w:type="pct"/>
          <w:trHeight w:val="14331" w:hRule="atLeast"/>
        </w:trPr>
        <w:tc>
          <w:tcPr>
            <w:tcW w:w="4634" w:type="pct"/>
            <w:gridSpan w:val="2"/>
          </w:tcPr>
          <w:p>
            <w:pPr>
              <w:pStyle w:val="2"/>
              <w:keepNext w:val="0"/>
              <w:keepLines w:val="0"/>
              <w:pageBreakBefore w:val="0"/>
              <w:widowControl w:val="0"/>
              <w:kinsoku/>
              <w:wordWrap/>
              <w:overflowPunct/>
              <w:topLinePunct w:val="0"/>
              <w:autoSpaceDE/>
              <w:autoSpaceDN/>
              <w:bidi w:val="0"/>
              <w:adjustRightInd/>
              <w:snapToGrid/>
              <w:spacing w:after="0" w:line="520" w:lineRule="exact"/>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十一、验收监测结果：</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rPr>
                <w:rFonts w:hint="eastAsia"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1、</w:t>
            </w:r>
            <w:r>
              <w:rPr>
                <w:rFonts w:hint="default" w:ascii="Times New Roman" w:hAnsi="Times New Roman" w:cs="Times New Roman" w:eastAsiaTheme="minorEastAsia"/>
                <w:sz w:val="24"/>
                <w:szCs w:val="24"/>
              </w:rPr>
              <w:t>项目</w:t>
            </w:r>
            <w:r>
              <w:rPr>
                <w:rFonts w:hint="eastAsia" w:ascii="Times New Roman" w:hAnsi="Times New Roman" w:cs="Times New Roman" w:eastAsiaTheme="minorEastAsia"/>
                <w:sz w:val="24"/>
                <w:szCs w:val="24"/>
                <w:lang w:val="en-US" w:eastAsia="zh-CN"/>
              </w:rPr>
              <w:t>火烧机</w:t>
            </w:r>
            <w:r>
              <w:rPr>
                <w:rFonts w:hint="eastAsia" w:ascii="Times New Roman" w:hAnsi="Times New Roman" w:eastAsia="宋体" w:cs="Times New Roman"/>
                <w:color w:val="000000"/>
                <w:sz w:val="24"/>
                <w:szCs w:val="24"/>
                <w:lang w:val="en-US" w:eastAsia="zh-CN"/>
              </w:rPr>
              <w:t>有组织废气中颗粒物、SO</w:t>
            </w:r>
            <w:r>
              <w:rPr>
                <w:rFonts w:hint="eastAsia" w:ascii="Times New Roman" w:hAnsi="Times New Roman" w:eastAsia="宋体" w:cs="Times New Roman"/>
                <w:color w:val="000000"/>
                <w:sz w:val="24"/>
                <w:szCs w:val="24"/>
                <w:vertAlign w:val="subscript"/>
                <w:lang w:val="en-US" w:eastAsia="zh-CN"/>
              </w:rPr>
              <w:t>2</w:t>
            </w:r>
            <w:r>
              <w:rPr>
                <w:rFonts w:hint="eastAsia" w:ascii="Times New Roman" w:hAnsi="Times New Roman" w:eastAsia="宋体" w:cs="Times New Roman"/>
                <w:color w:val="000000"/>
                <w:sz w:val="24"/>
                <w:szCs w:val="24"/>
                <w:lang w:val="en-US" w:eastAsia="zh-CN"/>
              </w:rPr>
              <w:t>、NOx参照执行上海市《工业炉窑大气污染物排放标准》（DB31 860-2014）表1排放浓度</w:t>
            </w:r>
            <w:r>
              <w:rPr>
                <w:rFonts w:hint="eastAsia" w:ascii="Times New Roman" w:hAnsi="Times New Roman" w:cs="Times New Roman" w:eastAsiaTheme="minorEastAsia"/>
                <w:color w:val="auto"/>
                <w:kern w:val="2"/>
                <w:sz w:val="24"/>
                <w:szCs w:val="24"/>
                <w:lang w:val="en-US" w:eastAsia="zh-CN"/>
              </w:rPr>
              <w:t>，</w:t>
            </w:r>
            <w:r>
              <w:rPr>
                <w:rFonts w:hint="eastAsia" w:asciiTheme="minorEastAsia" w:hAnsiTheme="minorEastAsia" w:eastAsiaTheme="minorEastAsia" w:cstheme="minorEastAsia"/>
                <w:color w:val="auto"/>
                <w:sz w:val="24"/>
                <w:szCs w:val="24"/>
                <w:lang w:val="en-US" w:eastAsia="zh-CN"/>
              </w:rPr>
              <w:t>检测结果</w:t>
            </w:r>
            <w:r>
              <w:rPr>
                <w:rFonts w:hint="eastAsia" w:asciiTheme="minorEastAsia" w:hAnsiTheme="minorEastAsia" w:eastAsiaTheme="minorEastAsia" w:cstheme="minorEastAsia"/>
                <w:color w:val="auto"/>
                <w:sz w:val="24"/>
                <w:szCs w:val="24"/>
              </w:rPr>
              <w:t>见</w:t>
            </w:r>
            <w:r>
              <w:rPr>
                <w:rFonts w:hint="eastAsia" w:ascii="仿宋" w:hAnsi="仿宋" w:eastAsia="仿宋" w:cs="仿宋"/>
                <w:color w:val="auto"/>
                <w:sz w:val="24"/>
                <w:szCs w:val="24"/>
                <w:lang w:val="en-US" w:eastAsia="zh-CN"/>
              </w:rPr>
              <w:t>下表：</w:t>
            </w:r>
          </w:p>
          <w:tbl>
            <w:tblPr>
              <w:tblStyle w:val="18"/>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436"/>
              <w:gridCol w:w="16"/>
              <w:gridCol w:w="1193"/>
              <w:gridCol w:w="1412"/>
              <w:gridCol w:w="1447"/>
              <w:gridCol w:w="1"/>
              <w:gridCol w:w="1436"/>
              <w:gridCol w:w="1022"/>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采样日期</w:t>
                  </w:r>
                </w:p>
              </w:tc>
              <w:tc>
                <w:tcPr>
                  <w:tcW w:w="1645"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2021.12.28</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分析日期</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2021.12.28-2021.12.29</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排气筒高度</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点位</w:t>
                  </w:r>
                </w:p>
              </w:tc>
              <w:tc>
                <w:tcPr>
                  <w:tcW w:w="1645"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lang w:val="en-US" w:eastAsia="zh-CN"/>
                    </w:rPr>
                    <w:t>检</w:t>
                  </w:r>
                  <w:r>
                    <w:rPr>
                      <w:rFonts w:hint="eastAsia" w:ascii="宋体" w:hAnsi="宋体" w:eastAsia="宋体" w:cs="宋体"/>
                      <w:sz w:val="21"/>
                      <w:szCs w:val="21"/>
                    </w:rPr>
                    <w:t>测项目</w:t>
                  </w:r>
                </w:p>
              </w:tc>
              <w:tc>
                <w:tcPr>
                  <w:tcW w:w="5318"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p>
              </w:tc>
              <w:tc>
                <w:tcPr>
                  <w:tcW w:w="1645"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left"/>
                    <w:textAlignment w:val="auto"/>
                    <w:rPr>
                      <w:rFonts w:hint="eastAsia" w:ascii="宋体" w:hAnsi="宋体" w:eastAsia="宋体" w:cs="宋体"/>
                      <w:sz w:val="21"/>
                      <w:szCs w:val="21"/>
                    </w:rPr>
                  </w:pP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第一次</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第二次</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第三次</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火烧机废气排气筒进口</w:t>
                  </w:r>
                </w:p>
              </w:tc>
              <w:tc>
                <w:tcPr>
                  <w:tcW w:w="1645"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1348</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1465</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1332</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p>
              </w:tc>
              <w:tc>
                <w:tcPr>
                  <w:tcW w:w="45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58.4</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60.8</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59.6</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0.079</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0.089</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0.079</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二氧化硫</w:t>
                  </w: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ND</w:t>
                  </w:r>
                </w:p>
              </w:tc>
              <w:tc>
                <w:tcPr>
                  <w:tcW w:w="144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ND</w:t>
                  </w:r>
                </w:p>
              </w:tc>
              <w:tc>
                <w:tcPr>
                  <w:tcW w:w="1436"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ND</w:t>
                  </w:r>
                </w:p>
              </w:tc>
              <w:tc>
                <w:tcPr>
                  <w:tcW w:w="1022"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0.002</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0.002</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0.002</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氮氧化物</w:t>
                  </w: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0.008</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0.009</w:t>
                  </w:r>
                </w:p>
              </w:tc>
              <w:tc>
                <w:tcPr>
                  <w:tcW w:w="143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0.008</w:t>
                  </w:r>
                </w:p>
              </w:tc>
              <w:tc>
                <w:tcPr>
                  <w:tcW w:w="102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火烧机废气排气筒进口</w:t>
                  </w:r>
                </w:p>
              </w:tc>
              <w:tc>
                <w:tcPr>
                  <w:tcW w:w="1645"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1900</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1744</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2089</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p>
              </w:tc>
              <w:tc>
                <w:tcPr>
                  <w:tcW w:w="4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排放</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3.0</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3.3</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0.006</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0.005</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0.007</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处理效率（%）</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92</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94</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91</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二氧化硫</w:t>
                  </w: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排放</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ND</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ND</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ND</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b w:val="0"/>
                      <w:bCs w:val="0"/>
                      <w:kern w:val="2"/>
                      <w:sz w:val="21"/>
                      <w:szCs w:val="21"/>
                      <w:vertAlign w:val="baseline"/>
                      <w:lang w:val="en-US" w:eastAsia="zh-CN" w:bidi="ar-SA"/>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0.003</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0.003</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0.003</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氮氧化物</w:t>
                  </w: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排放</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0.011</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0.010</w:t>
                  </w:r>
                </w:p>
              </w:tc>
              <w:tc>
                <w:tcPr>
                  <w:tcW w:w="143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0.015</w:t>
                  </w:r>
                </w:p>
              </w:tc>
              <w:tc>
                <w:tcPr>
                  <w:tcW w:w="102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rPr>
                    <w:t>0.012</w:t>
                  </w:r>
                </w:p>
              </w:tc>
            </w:tr>
          </w:tbl>
          <w:p>
            <w:pPr>
              <w:pStyle w:val="2"/>
              <w:widowControl w:val="0"/>
              <w:jc w:val="both"/>
            </w:pPr>
          </w:p>
          <w:tbl>
            <w:tblPr>
              <w:tblStyle w:val="18"/>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436"/>
              <w:gridCol w:w="16"/>
              <w:gridCol w:w="1193"/>
              <w:gridCol w:w="1412"/>
              <w:gridCol w:w="1447"/>
              <w:gridCol w:w="1"/>
              <w:gridCol w:w="1432"/>
              <w:gridCol w:w="1026"/>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采样日期</w:t>
                  </w:r>
                </w:p>
              </w:tc>
              <w:tc>
                <w:tcPr>
                  <w:tcW w:w="1645"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2021.12.29</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分析日期</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2021.12.29-2021.12.30</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排气筒高度</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restart"/>
                  <w:noWrap w:val="0"/>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检测</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点位</w:t>
                  </w:r>
                </w:p>
              </w:tc>
              <w:tc>
                <w:tcPr>
                  <w:tcW w:w="1645" w:type="dxa"/>
                  <w:gridSpan w:val="3"/>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lang w:val="en-US" w:eastAsia="zh-CN"/>
                    </w:rPr>
                    <w:t>检</w:t>
                  </w:r>
                  <w:r>
                    <w:rPr>
                      <w:rFonts w:hint="eastAsia" w:ascii="宋体" w:hAnsi="宋体" w:eastAsia="宋体" w:cs="宋体"/>
                      <w:sz w:val="21"/>
                      <w:szCs w:val="21"/>
                    </w:rPr>
                    <w:t>测项目</w:t>
                  </w:r>
                </w:p>
              </w:tc>
              <w:tc>
                <w:tcPr>
                  <w:tcW w:w="5318" w:type="dxa"/>
                  <w:gridSpan w:val="5"/>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p>
              </w:tc>
              <w:tc>
                <w:tcPr>
                  <w:tcW w:w="1645" w:type="dxa"/>
                  <w:gridSpan w:val="3"/>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left"/>
                    <w:textAlignment w:val="auto"/>
                    <w:rPr>
                      <w:rFonts w:hint="eastAsia" w:ascii="宋体" w:hAnsi="宋体" w:eastAsia="宋体" w:cs="宋体"/>
                      <w:sz w:val="21"/>
                      <w:szCs w:val="21"/>
                    </w:rPr>
                  </w:pP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第一次</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第二次</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第三次</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火烧机废气排气筒进口</w:t>
                  </w:r>
                </w:p>
              </w:tc>
              <w:tc>
                <w:tcPr>
                  <w:tcW w:w="1645"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1306</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1402</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1456</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p>
              </w:tc>
              <w:tc>
                <w:tcPr>
                  <w:tcW w:w="45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59.3</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58.3</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58.5</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0.077</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0.082</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0.085</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二氧化硫</w:t>
                  </w: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ND</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0.002</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0.002</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0.002</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氮氧化物</w:t>
                  </w: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6</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7</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7</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52" w:type="dxa"/>
                  <w:gridSpan w:val="2"/>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193"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产生</w:t>
                  </w:r>
                  <w:r>
                    <w:rPr>
                      <w:rFonts w:hint="eastAsia" w:ascii="宋体" w:hAnsi="宋体" w:eastAsia="宋体" w:cs="宋体"/>
                      <w:sz w:val="21"/>
                      <w:szCs w:val="21"/>
                    </w:rPr>
                    <w:t>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0.008</w:t>
                  </w:r>
                </w:p>
              </w:tc>
              <w:tc>
                <w:tcPr>
                  <w:tcW w:w="144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0.010</w:t>
                  </w:r>
                </w:p>
              </w:tc>
              <w:tc>
                <w:tcPr>
                  <w:tcW w:w="143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0.010</w:t>
                  </w:r>
                </w:p>
              </w:tc>
              <w:tc>
                <w:tcPr>
                  <w:tcW w:w="1026"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火烧机废气排气筒出口</w:t>
                  </w:r>
                </w:p>
              </w:tc>
              <w:tc>
                <w:tcPr>
                  <w:tcW w:w="1645"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标干流量(m</w:t>
                  </w:r>
                  <w:r>
                    <w:rPr>
                      <w:rFonts w:hint="eastAsia" w:ascii="宋体" w:hAnsi="宋体" w:eastAsia="宋体" w:cs="宋体"/>
                      <w:sz w:val="21"/>
                      <w:szCs w:val="21"/>
                      <w:vertAlign w:val="superscript"/>
                    </w:rPr>
                    <w:t>3</w:t>
                  </w:r>
                  <w:r>
                    <w:rPr>
                      <w:rFonts w:hint="eastAsia" w:ascii="宋体" w:hAnsi="宋体" w:eastAsia="宋体" w:cs="宋体"/>
                      <w:sz w:val="21"/>
                      <w:szCs w:val="21"/>
                    </w:rPr>
                    <w:t>/h)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2145</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2157</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1796</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2033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p>
              </w:tc>
              <w:tc>
                <w:tcPr>
                  <w:tcW w:w="4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颗粒物</w:t>
                  </w: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排放</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2.7</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3.5</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0.006</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0.008</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0.006</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处理效率（%）</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92</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90</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93</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二氧化硫</w:t>
                  </w: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排放</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ND</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ND</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ND</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0.003</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氮氧化物</w:t>
                  </w: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排放</w:t>
                  </w:r>
                  <w:r>
                    <w:rPr>
                      <w:rFonts w:hint="eastAsia" w:ascii="宋体" w:hAnsi="宋体" w:eastAsia="宋体" w:cs="宋体"/>
                      <w:sz w:val="21"/>
                      <w:szCs w:val="21"/>
                    </w:rPr>
                    <w:t>浓度</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kern w:val="2"/>
                      <w:sz w:val="21"/>
                      <w:szCs w:val="21"/>
                      <w:vertAlign w:val="baseline"/>
                      <w:lang w:val="en-US" w:eastAsia="zh-CN" w:bidi="ar-SA"/>
                    </w:rPr>
                  </w:pPr>
                  <w:r>
                    <w:rPr>
                      <w:rFonts w:hint="eastAsia" w:ascii="宋体" w:hAnsi="宋体" w:eastAsia="宋体" w:cs="宋体"/>
                      <w:sz w:val="21"/>
                      <w:szCs w:val="21"/>
                    </w:rPr>
                    <w:t>（mg/m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7</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6</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7</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436"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p>
              </w:tc>
              <w:tc>
                <w:tcPr>
                  <w:tcW w:w="1209"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排放速率</w:t>
                  </w:r>
                </w:p>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(kg/h)</w:t>
                  </w:r>
                </w:p>
              </w:tc>
              <w:tc>
                <w:tcPr>
                  <w:tcW w:w="141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0.015</w:t>
                  </w:r>
                </w:p>
              </w:tc>
              <w:tc>
                <w:tcPr>
                  <w:tcW w:w="1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0.013</w:t>
                  </w:r>
                </w:p>
              </w:tc>
              <w:tc>
                <w:tcPr>
                  <w:tcW w:w="1433"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0.013</w:t>
                  </w:r>
                </w:p>
              </w:tc>
              <w:tc>
                <w:tcPr>
                  <w:tcW w:w="1030"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1"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备注</w:t>
                  </w:r>
                </w:p>
              </w:tc>
              <w:tc>
                <w:tcPr>
                  <w:tcW w:w="6967" w:type="dxa"/>
                  <w:gridSpan w:val="9"/>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b w:val="0"/>
                      <w:bCs w:val="0"/>
                      <w:sz w:val="21"/>
                      <w:szCs w:val="21"/>
                      <w:vertAlign w:val="baseline"/>
                      <w:lang w:val="en-US" w:eastAsia="zh-CN"/>
                    </w:rPr>
                  </w:pPr>
                </w:p>
              </w:tc>
            </w:tr>
          </w:tbl>
          <w:p>
            <w:pPr>
              <w:keepNext w:val="0"/>
              <w:keepLines w:val="0"/>
              <w:pageBreakBefore w:val="0"/>
              <w:widowControl w:val="0"/>
              <w:tabs>
                <w:tab w:val="left" w:pos="2200"/>
              </w:tabs>
              <w:kinsoku/>
              <w:wordWrap/>
              <w:overflowPunct/>
              <w:topLinePunct w:val="0"/>
              <w:autoSpaceDE/>
              <w:autoSpaceDN/>
              <w:bidi w:val="0"/>
              <w:adjustRightInd/>
              <w:snapToGrid/>
              <w:spacing w:after="0" w:line="360" w:lineRule="auto"/>
              <w:ind w:left="0" w:right="0" w:firstLine="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w:t>
            </w:r>
            <w:r>
              <w:rPr>
                <w:rFonts w:hint="eastAsia" w:ascii="Times New Roman" w:hAnsi="Times New Roman" w:eastAsia="宋体" w:cs="Times New Roman"/>
                <w:b/>
                <w:sz w:val="21"/>
                <w:szCs w:val="21"/>
                <w:lang w:val="en-US" w:eastAsia="zh-CN"/>
              </w:rPr>
              <w:t>11</w:t>
            </w:r>
            <w:r>
              <w:rPr>
                <w:rFonts w:hint="default" w:ascii="Times New Roman" w:hAnsi="Times New Roman" w:eastAsia="宋体" w:cs="Times New Roman"/>
                <w:b/>
                <w:sz w:val="21"/>
                <w:szCs w:val="21"/>
              </w:rPr>
              <w:t>-</w:t>
            </w:r>
            <w:r>
              <w:rPr>
                <w:rFonts w:hint="eastAsia" w:ascii="Times New Roman" w:hAnsi="Times New Roman" w:eastAsia="宋体" w:cs="Times New Roman"/>
                <w:b/>
                <w:sz w:val="21"/>
                <w:szCs w:val="21"/>
                <w:lang w:val="en-US" w:eastAsia="zh-CN"/>
              </w:rPr>
              <w:t xml:space="preserve">1 </w:t>
            </w:r>
            <w:r>
              <w:rPr>
                <w:rFonts w:hint="default" w:ascii="Times New Roman" w:hAnsi="Times New Roman" w:eastAsia="宋体" w:cs="Times New Roman"/>
                <w:b/>
                <w:sz w:val="21"/>
                <w:szCs w:val="21"/>
              </w:rPr>
              <w:t>废气污染物排放总量核算表</w:t>
            </w:r>
          </w:p>
          <w:tbl>
            <w:tblPr>
              <w:tblStyle w:val="17"/>
              <w:tblW w:w="4998" w:type="pct"/>
              <w:tblInd w:w="-6" w:type="dxa"/>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Layout w:type="fixed"/>
              <w:tblCellMar>
                <w:top w:w="0" w:type="dxa"/>
                <w:left w:w="0" w:type="dxa"/>
                <w:bottom w:w="0" w:type="dxa"/>
                <w:right w:w="0" w:type="dxa"/>
              </w:tblCellMar>
            </w:tblPr>
            <w:tblGrid>
              <w:gridCol w:w="1096"/>
              <w:gridCol w:w="900"/>
              <w:gridCol w:w="1258"/>
              <w:gridCol w:w="1258"/>
              <w:gridCol w:w="1258"/>
              <w:gridCol w:w="1258"/>
              <w:gridCol w:w="1261"/>
            </w:tblGrid>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61"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lang w:eastAsia="zh-CN"/>
                    </w:rPr>
                    <w:t>生产工艺</w:t>
                  </w:r>
                </w:p>
              </w:tc>
              <w:tc>
                <w:tcPr>
                  <w:tcW w:w="542"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污染因子</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排放速率</w:t>
                  </w:r>
                  <w:r>
                    <w:rPr>
                      <w:rFonts w:hint="eastAsia" w:eastAsia="宋体" w:cs="Times New Roman"/>
                      <w:sz w:val="21"/>
                      <w:szCs w:val="21"/>
                      <w:lang w:val="en-US" w:eastAsia="zh-CN"/>
                    </w:rPr>
                    <w:t>kg/h</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年运行时间</w:t>
                  </w:r>
                </w:p>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h</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年</w:t>
                  </w:r>
                  <w:r>
                    <w:rPr>
                      <w:rFonts w:hint="default" w:ascii="Times New Roman" w:hAnsi="Times New Roman" w:eastAsia="宋体" w:cs="Times New Roman"/>
                      <w:sz w:val="21"/>
                      <w:szCs w:val="21"/>
                    </w:rPr>
                    <w:t>排放量</w:t>
                  </w:r>
                </w:p>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t/a</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zh-CN" w:eastAsia="zh-CN" w:bidi="zh-CN"/>
                    </w:rPr>
                  </w:pPr>
                  <w:r>
                    <w:rPr>
                      <w:rFonts w:hint="default" w:ascii="Times New Roman" w:hAnsi="Times New Roman" w:eastAsia="宋体" w:cs="Times New Roman"/>
                      <w:sz w:val="21"/>
                      <w:szCs w:val="21"/>
                    </w:rPr>
                    <w:t>控制指标</w:t>
                  </w:r>
                  <w:r>
                    <w:rPr>
                      <w:rFonts w:hint="eastAsia" w:eastAsia="宋体" w:cs="Times New Roman"/>
                      <w:sz w:val="21"/>
                      <w:szCs w:val="21"/>
                      <w:lang w:val="en-US" w:eastAsia="zh-CN"/>
                    </w:rPr>
                    <w:t>t/a</w:t>
                  </w:r>
                </w:p>
              </w:tc>
              <w:tc>
                <w:tcPr>
                  <w:tcW w:w="760"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是否达标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661" w:type="pct"/>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rPr>
                      <w:rFonts w:hint="default" w:ascii="宋体" w:hAnsi="宋体" w:eastAsia="宋体" w:cs="宋体"/>
                      <w:color w:val="auto"/>
                      <w:sz w:val="21"/>
                      <w:szCs w:val="21"/>
                      <w:lang w:val="en-US" w:eastAsia="zh-CN" w:bidi="zh-CN"/>
                    </w:rPr>
                  </w:pPr>
                  <w:r>
                    <w:rPr>
                      <w:rFonts w:hint="eastAsia" w:ascii="宋体" w:hAnsi="宋体" w:eastAsia="宋体" w:cs="宋体"/>
                      <w:color w:val="auto"/>
                      <w:sz w:val="21"/>
                      <w:szCs w:val="21"/>
                      <w:lang w:val="en-US" w:eastAsia="zh-CN"/>
                    </w:rPr>
                    <w:t>火烧机火烧</w:t>
                  </w:r>
                </w:p>
              </w:tc>
              <w:tc>
                <w:tcPr>
                  <w:tcW w:w="542"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eastAsia" w:ascii="Times New Roman" w:hAnsi="Times New Roman" w:eastAsia="宋体" w:cs="Times New Roman"/>
                      <w:sz w:val="21"/>
                      <w:szCs w:val="21"/>
                      <w:lang w:eastAsia="zh-CN"/>
                    </w:rPr>
                  </w:pPr>
                  <w:r>
                    <w:rPr>
                      <w:rFonts w:hint="eastAsia" w:eastAsia="宋体" w:cs="Times New Roman"/>
                      <w:sz w:val="21"/>
                      <w:szCs w:val="21"/>
                      <w:lang w:val="en-US" w:eastAsia="zh-CN"/>
                    </w:rPr>
                    <w:t>颗粒物</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0.007</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300</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0.0021</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bidi="zh-CN"/>
                    </w:rPr>
                  </w:pPr>
                  <w:r>
                    <w:rPr>
                      <w:rFonts w:hint="eastAsia" w:eastAsia="宋体" w:cs="Times New Roman"/>
                      <w:sz w:val="21"/>
                      <w:szCs w:val="21"/>
                      <w:lang w:val="en-US" w:eastAsia="zh-CN" w:bidi="zh-CN"/>
                    </w:rPr>
                    <w:t>0.091</w:t>
                  </w:r>
                </w:p>
              </w:tc>
              <w:tc>
                <w:tcPr>
                  <w:tcW w:w="760" w:type="pct"/>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PrEx>
              <w:trPr>
                <w:trHeight w:val="208" w:hRule="atLeast"/>
              </w:trPr>
              <w:tc>
                <w:tcPr>
                  <w:tcW w:w="661"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rPr>
                  </w:pPr>
                </w:p>
              </w:tc>
              <w:tc>
                <w:tcPr>
                  <w:tcW w:w="542"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NOx</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0.013</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300</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0.0039</w:t>
                  </w:r>
                </w:p>
              </w:tc>
              <w:tc>
                <w:tcPr>
                  <w:tcW w:w="75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0.005269</w:t>
                  </w:r>
                </w:p>
              </w:tc>
              <w:tc>
                <w:tcPr>
                  <w:tcW w:w="760"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rPr>
                  </w:pP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208" w:hRule="atLeast"/>
              </w:trPr>
              <w:tc>
                <w:tcPr>
                  <w:tcW w:w="661"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rPr>
                  </w:pPr>
                </w:p>
              </w:tc>
              <w:tc>
                <w:tcPr>
                  <w:tcW w:w="542"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SO</w:t>
                  </w:r>
                  <w:r>
                    <w:rPr>
                      <w:rFonts w:hint="eastAsia" w:eastAsia="宋体" w:cs="Times New Roman"/>
                      <w:sz w:val="21"/>
                      <w:szCs w:val="21"/>
                      <w:vertAlign w:val="subscript"/>
                      <w:lang w:val="en-US" w:eastAsia="zh-CN"/>
                    </w:rPr>
                    <w:t>2</w:t>
                  </w:r>
                </w:p>
              </w:tc>
              <w:tc>
                <w:tcPr>
                  <w:tcW w:w="3795" w:type="pct"/>
                  <w:gridSpan w:val="5"/>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现使用丙烷气，丙烷气为清洁能源，不含H</w:t>
                  </w:r>
                  <w:r>
                    <w:rPr>
                      <w:rFonts w:hint="eastAsia" w:eastAsia="宋体" w:cs="Times New Roman"/>
                      <w:sz w:val="21"/>
                      <w:szCs w:val="21"/>
                      <w:vertAlign w:val="subscript"/>
                      <w:lang w:val="en-US" w:eastAsia="zh-CN"/>
                    </w:rPr>
                    <w:t>2</w:t>
                  </w:r>
                  <w:r>
                    <w:rPr>
                      <w:rFonts w:hint="eastAsia" w:eastAsia="宋体" w:cs="Times New Roman"/>
                      <w:sz w:val="21"/>
                      <w:szCs w:val="21"/>
                      <w:lang w:val="en-US" w:eastAsia="zh-CN"/>
                    </w:rPr>
                    <w:t>S，检测时也未检测出SO</w:t>
                  </w:r>
                  <w:r>
                    <w:rPr>
                      <w:rFonts w:hint="eastAsia" w:eastAsia="宋体" w:cs="Times New Roman"/>
                      <w:sz w:val="21"/>
                      <w:szCs w:val="21"/>
                      <w:vertAlign w:val="subscript"/>
                      <w:lang w:val="en-US" w:eastAsia="zh-CN"/>
                    </w:rPr>
                    <w:t>2</w:t>
                  </w:r>
                  <w:r>
                    <w:rPr>
                      <w:rFonts w:hint="eastAsia" w:eastAsia="宋体" w:cs="Times New Roman"/>
                      <w:sz w:val="21"/>
                      <w:szCs w:val="21"/>
                      <w:vertAlign w:val="baseline"/>
                      <w:lang w:val="en-US" w:eastAsia="zh-CN"/>
                    </w:rPr>
                    <w:t>,故</w:t>
                  </w:r>
                  <w:r>
                    <w:rPr>
                      <w:rFonts w:hint="eastAsia" w:eastAsia="宋体" w:cs="Times New Roman"/>
                      <w:sz w:val="21"/>
                      <w:szCs w:val="21"/>
                      <w:lang w:val="en-US" w:eastAsia="zh-CN"/>
                    </w:rPr>
                    <w:t>在此不对总量进行核算评价</w:t>
                  </w:r>
                </w:p>
              </w:tc>
            </w:tr>
          </w:tbl>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2、废气（无组织）：</w:t>
            </w:r>
          </w:p>
          <w:p>
            <w:pPr>
              <w:pStyle w:val="2"/>
              <w:keepNext w:val="0"/>
              <w:keepLines w:val="0"/>
              <w:pageBreakBefore w:val="0"/>
              <w:widowControl w:val="0"/>
              <w:kinsoku/>
              <w:wordWrap/>
              <w:overflowPunct/>
              <w:topLinePunct w:val="0"/>
              <w:autoSpaceDE/>
              <w:autoSpaceDN/>
              <w:bidi w:val="0"/>
              <w:adjustRightInd/>
              <w:snapToGrid/>
              <w:spacing w:after="0" w:line="520" w:lineRule="exact"/>
              <w:ind w:firstLine="480" w:firstLineChars="200"/>
              <w:jc w:val="both"/>
              <w:textAlignment w:val="auto"/>
              <w:rPr>
                <w:rFonts w:hint="default" w:asciiTheme="minorEastAsia" w:hAnsiTheme="minorEastAsia" w:eastAsiaTheme="minorEastAsia" w:cstheme="minorEastAsia"/>
                <w:color w:val="FF0000"/>
                <w:kern w:val="2"/>
                <w:sz w:val="24"/>
                <w:szCs w:val="24"/>
                <w:lang w:val="en-US" w:eastAsia="zh-CN"/>
              </w:rPr>
            </w:pPr>
            <w:r>
              <w:rPr>
                <w:rFonts w:hint="default" w:asciiTheme="minorEastAsia" w:hAnsiTheme="minorEastAsia" w:eastAsiaTheme="minorEastAsia" w:cstheme="minorEastAsia"/>
                <w:color w:val="auto"/>
                <w:sz w:val="24"/>
                <w:szCs w:val="24"/>
                <w:lang w:val="en-US" w:eastAsia="zh-CN"/>
              </w:rPr>
              <w:t>本项目无组织</w:t>
            </w:r>
            <w:r>
              <w:rPr>
                <w:rFonts w:hint="eastAsia" w:asciiTheme="minorEastAsia" w:hAnsiTheme="minorEastAsia" w:eastAsiaTheme="minorEastAsia" w:cstheme="minorEastAsia"/>
                <w:color w:val="auto"/>
                <w:sz w:val="24"/>
                <w:szCs w:val="24"/>
                <w:lang w:val="en-US" w:eastAsia="zh-CN"/>
              </w:rPr>
              <w:t>颗粒物</w:t>
            </w:r>
            <w:r>
              <w:rPr>
                <w:rFonts w:hint="default" w:asciiTheme="minorEastAsia" w:hAnsiTheme="minorEastAsia" w:eastAsiaTheme="minorEastAsia" w:cstheme="minorEastAsia"/>
                <w:color w:val="auto"/>
                <w:sz w:val="24"/>
                <w:szCs w:val="24"/>
                <w:lang w:val="en-US" w:eastAsia="zh-CN"/>
              </w:rPr>
              <w:t>浓度范围为</w:t>
            </w:r>
            <w:r>
              <w:rPr>
                <w:rFonts w:hint="default" w:ascii="Times New Roman" w:hAnsi="Times New Roman" w:cs="Times New Roman" w:eastAsiaTheme="minorEastAsia"/>
                <w:color w:val="auto"/>
                <w:sz w:val="24"/>
                <w:szCs w:val="24"/>
                <w:lang w:val="en-US" w:eastAsia="zh-CN"/>
              </w:rPr>
              <w:t>0.050~0.133mg/m³</w:t>
            </w:r>
            <w:r>
              <w:rPr>
                <w:rFonts w:hint="eastAsia" w:asciiTheme="minorEastAsia" w:hAnsiTheme="minorEastAsia" w:eastAsiaTheme="minorEastAsia" w:cstheme="minorEastAsia"/>
                <w:color w:val="auto"/>
                <w:sz w:val="24"/>
                <w:szCs w:val="24"/>
                <w:lang w:val="en-US" w:eastAsia="zh-CN"/>
              </w:rPr>
              <w:t>，SO</w:t>
            </w:r>
            <w:r>
              <w:rPr>
                <w:rFonts w:hint="eastAsia" w:asciiTheme="minorEastAsia" w:hAnsiTheme="minorEastAsia" w:eastAsiaTheme="minorEastAsia" w:cstheme="minorEastAsia"/>
                <w:color w:val="auto"/>
                <w:sz w:val="24"/>
                <w:szCs w:val="24"/>
                <w:vertAlign w:val="subscript"/>
                <w:lang w:val="en-US" w:eastAsia="zh-CN"/>
              </w:rPr>
              <w:t>2</w:t>
            </w:r>
            <w:r>
              <w:rPr>
                <w:rFonts w:hint="default" w:asciiTheme="minorEastAsia" w:hAnsiTheme="minorEastAsia" w:eastAsiaTheme="minorEastAsia" w:cstheme="minorEastAsia"/>
                <w:color w:val="auto"/>
                <w:sz w:val="24"/>
                <w:szCs w:val="24"/>
                <w:lang w:val="en-US" w:eastAsia="zh-CN"/>
              </w:rPr>
              <w:t>浓度范围为</w:t>
            </w:r>
            <w:r>
              <w:rPr>
                <w:rFonts w:hint="eastAsia" w:ascii="Times New Roman" w:hAnsi="Times New Roman" w:cs="Times New Roman" w:eastAsiaTheme="minorEastAsia"/>
                <w:color w:val="auto"/>
                <w:sz w:val="24"/>
                <w:szCs w:val="24"/>
                <w:lang w:val="en-US" w:eastAsia="zh-CN"/>
              </w:rPr>
              <w:t>0.007~0.009</w:t>
            </w:r>
            <w:r>
              <w:rPr>
                <w:rFonts w:hint="default" w:ascii="Times New Roman" w:hAnsi="Times New Roman" w:cs="Times New Roman" w:eastAsiaTheme="minorEastAsia"/>
                <w:color w:val="auto"/>
                <w:sz w:val="24"/>
                <w:szCs w:val="24"/>
                <w:lang w:val="en-US" w:eastAsia="zh-CN"/>
              </w:rPr>
              <w:t>mg/m³</w:t>
            </w:r>
            <w:r>
              <w:rPr>
                <w:rFonts w:hint="eastAsia" w:asciiTheme="minorEastAsia" w:hAnsiTheme="minorEastAsia" w:eastAsiaTheme="minorEastAsia" w:cstheme="minorEastAsia"/>
                <w:color w:val="auto"/>
                <w:sz w:val="24"/>
                <w:szCs w:val="24"/>
                <w:lang w:val="en-US" w:eastAsia="zh-CN"/>
              </w:rPr>
              <w:t>、</w:t>
            </w:r>
            <w:r>
              <w:rPr>
                <w:rFonts w:hint="eastAsia" w:ascii="Times New Roman" w:hAnsi="Times New Roman" w:cs="Times New Roman" w:eastAsiaTheme="minorEastAsia"/>
                <w:color w:val="auto"/>
                <w:sz w:val="24"/>
                <w:szCs w:val="24"/>
                <w:lang w:val="en-US" w:eastAsia="zh-CN"/>
              </w:rPr>
              <w:t>NOx0.025~0.034</w:t>
            </w:r>
            <w:r>
              <w:rPr>
                <w:rFonts w:hint="default" w:ascii="Times New Roman" w:hAnsi="Times New Roman" w:cs="Times New Roman" w:eastAsiaTheme="minorEastAsia"/>
                <w:color w:val="auto"/>
                <w:sz w:val="24"/>
                <w:szCs w:val="24"/>
                <w:lang w:val="en-US" w:eastAsia="zh-CN"/>
              </w:rPr>
              <w:t>mg/m³</w:t>
            </w:r>
            <w:r>
              <w:rPr>
                <w:rFonts w:hint="eastAsia" w:asciiTheme="minorEastAsia" w:hAnsiTheme="minorEastAsia" w:eastAsiaTheme="minorEastAsia" w:cstheme="minorEastAsia"/>
                <w:color w:val="auto"/>
                <w:sz w:val="24"/>
                <w:szCs w:val="24"/>
                <w:lang w:val="en-US" w:eastAsia="zh-CN"/>
              </w:rPr>
              <w:t>。火</w:t>
            </w:r>
            <w:r>
              <w:rPr>
                <w:rFonts w:hint="eastAsia" w:ascii="Times New Roman" w:hAnsi="Times New Roman" w:eastAsia="宋体" w:cs="Times New Roman"/>
                <w:sz w:val="24"/>
                <w:szCs w:val="24"/>
                <w:lang w:val="en-US" w:eastAsia="zh-CN"/>
              </w:rPr>
              <w:t>烧机燃烧无组织排放执行《大气污染物综合排放标准》（GB16297－1996）二级标准及无组织排放监控浓度限值浓度</w:t>
            </w:r>
            <w:r>
              <w:rPr>
                <w:rFonts w:hint="default"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检测结果见下表：</w:t>
            </w:r>
          </w:p>
          <w:tbl>
            <w:tblPr>
              <w:tblStyle w:val="18"/>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777"/>
              <w:gridCol w:w="1551"/>
              <w:gridCol w:w="406"/>
              <w:gridCol w:w="1145"/>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采样时间</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2021.12.28</w:t>
                  </w:r>
                </w:p>
              </w:tc>
              <w:tc>
                <w:tcPr>
                  <w:tcW w:w="1957"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分析日期</w:t>
                  </w:r>
                </w:p>
              </w:tc>
              <w:tc>
                <w:tcPr>
                  <w:tcW w:w="2696"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2021.12.28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检测点位</w:t>
                  </w:r>
                </w:p>
              </w:tc>
              <w:tc>
                <w:tcPr>
                  <w:tcW w:w="17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检测时段</w:t>
                  </w:r>
                </w:p>
              </w:tc>
              <w:tc>
                <w:tcPr>
                  <w:tcW w:w="4653"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kern w:val="2"/>
                      <w:sz w:val="21"/>
                      <w:szCs w:val="21"/>
                      <w:vertAlign w:val="superscript"/>
                      <w:lang w:val="en-US" w:eastAsia="zh-CN" w:bidi="ar-SA"/>
                    </w:rPr>
                  </w:pPr>
                  <w:r>
                    <w:rPr>
                      <w:rFonts w:hint="eastAsia" w:ascii="仿宋" w:hAnsi="仿宋" w:eastAsia="仿宋" w:cs="仿宋"/>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551"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颗粒物（</w:t>
                  </w:r>
                  <w:r>
                    <w:rPr>
                      <w:rFonts w:hint="default" w:ascii="Times New Roman" w:hAnsi="Times New Roman" w:cs="Times New Roman"/>
                      <w:sz w:val="21"/>
                      <w:szCs w:val="21"/>
                      <w:lang w:val="en-US" w:eastAsia="zh-CN"/>
                    </w:rPr>
                    <w:t>mg/m³</w:t>
                  </w:r>
                  <w:r>
                    <w:rPr>
                      <w:rFonts w:hint="eastAsia" w:ascii="仿宋" w:hAnsi="仿宋" w:eastAsia="仿宋" w:cs="仿宋"/>
                      <w:b w:val="0"/>
                      <w:bCs w:val="0"/>
                      <w:color w:val="auto"/>
                      <w:sz w:val="21"/>
                      <w:szCs w:val="21"/>
                      <w:vertAlign w:val="baseline"/>
                      <w:lang w:val="en-US" w:eastAsia="zh-CN"/>
                    </w:rPr>
                    <w:t>）</w:t>
                  </w:r>
                </w:p>
              </w:tc>
              <w:tc>
                <w:tcPr>
                  <w:tcW w:w="1551" w:type="dxa"/>
                  <w:gridSpan w:val="2"/>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subscript"/>
                      <w:lang w:val="en-US" w:eastAsia="zh-CN"/>
                    </w:rPr>
                  </w:pPr>
                  <w:r>
                    <w:rPr>
                      <w:rFonts w:hint="eastAsia" w:ascii="仿宋" w:hAnsi="仿宋" w:eastAsia="仿宋" w:cs="仿宋"/>
                      <w:b w:val="0"/>
                      <w:bCs w:val="0"/>
                      <w:color w:val="auto"/>
                      <w:sz w:val="21"/>
                      <w:szCs w:val="21"/>
                      <w:vertAlign w:val="baseline"/>
                      <w:lang w:val="en-US" w:eastAsia="zh-CN"/>
                    </w:rPr>
                    <w:t>SO</w:t>
                  </w:r>
                  <w:r>
                    <w:rPr>
                      <w:rFonts w:hint="eastAsia" w:ascii="仿宋" w:hAnsi="仿宋" w:eastAsia="仿宋" w:cs="仿宋"/>
                      <w:b w:val="0"/>
                      <w:bCs w:val="0"/>
                      <w:color w:val="auto"/>
                      <w:sz w:val="21"/>
                      <w:szCs w:val="21"/>
                      <w:vertAlign w:val="subscript"/>
                      <w:lang w:val="en-US" w:eastAsia="zh-CN"/>
                    </w:rPr>
                    <w:t>2</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w:t>
                  </w:r>
                  <w:r>
                    <w:rPr>
                      <w:rFonts w:hint="default" w:ascii="Times New Roman" w:hAnsi="Times New Roman" w:cs="Times New Roman"/>
                      <w:sz w:val="21"/>
                      <w:szCs w:val="21"/>
                      <w:lang w:val="en-US" w:eastAsia="zh-CN"/>
                    </w:rPr>
                    <w:t>mg/m³</w:t>
                  </w:r>
                  <w:r>
                    <w:rPr>
                      <w:rFonts w:hint="eastAsia" w:ascii="仿宋" w:hAnsi="仿宋" w:eastAsia="仿宋" w:cs="仿宋"/>
                      <w:b w:val="0"/>
                      <w:bCs w:val="0"/>
                      <w:color w:val="auto"/>
                      <w:sz w:val="21"/>
                      <w:szCs w:val="21"/>
                      <w:vertAlign w:val="baseline"/>
                      <w:lang w:val="en-US" w:eastAsia="zh-CN"/>
                    </w:rPr>
                    <w:t>）</w:t>
                  </w:r>
                </w:p>
              </w:tc>
              <w:tc>
                <w:tcPr>
                  <w:tcW w:w="1551"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NOx</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w:t>
                  </w:r>
                  <w:r>
                    <w:rPr>
                      <w:rFonts w:hint="default" w:ascii="Times New Roman" w:hAnsi="Times New Roman" w:cs="Times New Roman"/>
                      <w:sz w:val="21"/>
                      <w:szCs w:val="21"/>
                      <w:lang w:val="en-US" w:eastAsia="zh-CN"/>
                    </w:rPr>
                    <w:t>mg/m³</w:t>
                  </w:r>
                  <w:r>
                    <w:rPr>
                      <w:rFonts w:hint="eastAsia" w:ascii="仿宋" w:hAnsi="仿宋" w:eastAsia="仿宋" w:cs="仿宋"/>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厂界东</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第一批次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0.083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第二批次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0.100</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0.009</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第三批次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0.100</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均值</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0.094</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厂界南</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第一批次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0.117</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第二批次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0.133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第三批次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0.133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均值</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0.128</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厂界西</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第一批次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0.050</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0.009</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第二批次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0.067</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第三批次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0.067</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均值</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0.061</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0.028</w:t>
                  </w:r>
                </w:p>
              </w:tc>
            </w:tr>
          </w:tbl>
          <w:p>
            <w:pPr>
              <w:pStyle w:val="2"/>
              <w:widowControl w:val="0"/>
              <w:jc w:val="both"/>
            </w:pPr>
          </w:p>
          <w:tbl>
            <w:tblPr>
              <w:tblStyle w:val="18"/>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777"/>
              <w:gridCol w:w="1551"/>
              <w:gridCol w:w="487"/>
              <w:gridCol w:w="1064"/>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采样时间</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2021.12.29</w:t>
                  </w:r>
                </w:p>
              </w:tc>
              <w:tc>
                <w:tcPr>
                  <w:tcW w:w="2038"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分析日期</w:t>
                  </w:r>
                </w:p>
              </w:tc>
              <w:tc>
                <w:tcPr>
                  <w:tcW w:w="2615" w:type="dxa"/>
                  <w:gridSpan w:val="2"/>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2021.12.29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检测点位</w:t>
                  </w:r>
                </w:p>
              </w:tc>
              <w:tc>
                <w:tcPr>
                  <w:tcW w:w="1777"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检测时段</w:t>
                  </w:r>
                </w:p>
              </w:tc>
              <w:tc>
                <w:tcPr>
                  <w:tcW w:w="4653" w:type="dxa"/>
                  <w:gridSpan w:val="4"/>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b w:val="0"/>
                      <w:bCs w:val="0"/>
                      <w:color w:val="auto"/>
                      <w:kern w:val="2"/>
                      <w:sz w:val="21"/>
                      <w:szCs w:val="21"/>
                      <w:vertAlign w:val="superscript"/>
                      <w:lang w:val="en-US" w:eastAsia="zh-CN" w:bidi="ar-SA"/>
                    </w:rPr>
                  </w:pPr>
                  <w:r>
                    <w:rPr>
                      <w:rFonts w:hint="eastAsia" w:ascii="仿宋" w:hAnsi="仿宋" w:eastAsia="仿宋" w:cs="仿宋"/>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551"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baseline"/>
                      <w:lang w:val="en-US" w:eastAsia="zh-CN" w:bidi="ar-SA"/>
                    </w:rPr>
                  </w:pPr>
                  <w:r>
                    <w:rPr>
                      <w:rFonts w:hint="eastAsia" w:ascii="仿宋" w:hAnsi="仿宋" w:eastAsia="仿宋" w:cs="仿宋"/>
                      <w:b w:val="0"/>
                      <w:bCs w:val="0"/>
                      <w:color w:val="auto"/>
                      <w:sz w:val="21"/>
                      <w:szCs w:val="21"/>
                      <w:vertAlign w:val="baseline"/>
                      <w:lang w:val="en-US" w:eastAsia="zh-CN"/>
                    </w:rPr>
                    <w:t>颗粒物（</w:t>
                  </w:r>
                  <w:r>
                    <w:rPr>
                      <w:rFonts w:hint="default" w:ascii="Times New Roman" w:hAnsi="Times New Roman" w:cs="Times New Roman"/>
                      <w:sz w:val="21"/>
                      <w:szCs w:val="21"/>
                      <w:lang w:val="en-US" w:eastAsia="zh-CN"/>
                    </w:rPr>
                    <w:t>mg/m³</w:t>
                  </w:r>
                  <w:r>
                    <w:rPr>
                      <w:rFonts w:hint="eastAsia" w:ascii="仿宋" w:hAnsi="仿宋" w:eastAsia="仿宋" w:cs="仿宋"/>
                      <w:b w:val="0"/>
                      <w:bCs w:val="0"/>
                      <w:color w:val="auto"/>
                      <w:sz w:val="21"/>
                      <w:szCs w:val="21"/>
                      <w:vertAlign w:val="baseline"/>
                      <w:lang w:val="en-US" w:eastAsia="zh-CN"/>
                    </w:rPr>
                    <w:t>）</w:t>
                  </w:r>
                </w:p>
              </w:tc>
              <w:tc>
                <w:tcPr>
                  <w:tcW w:w="1551" w:type="dxa"/>
                  <w:gridSpan w:val="2"/>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subscript"/>
                      <w:lang w:val="en-US" w:eastAsia="zh-CN"/>
                    </w:rPr>
                  </w:pPr>
                  <w:r>
                    <w:rPr>
                      <w:rFonts w:hint="eastAsia" w:ascii="仿宋" w:hAnsi="仿宋" w:eastAsia="仿宋" w:cs="仿宋"/>
                      <w:b w:val="0"/>
                      <w:bCs w:val="0"/>
                      <w:color w:val="auto"/>
                      <w:sz w:val="21"/>
                      <w:szCs w:val="21"/>
                      <w:vertAlign w:val="baseline"/>
                      <w:lang w:val="en-US" w:eastAsia="zh-CN"/>
                    </w:rPr>
                    <w:t>SO</w:t>
                  </w:r>
                  <w:r>
                    <w:rPr>
                      <w:rFonts w:hint="eastAsia" w:ascii="仿宋" w:hAnsi="仿宋" w:eastAsia="仿宋" w:cs="仿宋"/>
                      <w:b w:val="0"/>
                      <w:bCs w:val="0"/>
                      <w:color w:val="auto"/>
                      <w:sz w:val="21"/>
                      <w:szCs w:val="21"/>
                      <w:vertAlign w:val="subscript"/>
                      <w:lang w:val="en-US" w:eastAsia="zh-CN"/>
                    </w:rPr>
                    <w:t>2</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baseline"/>
                      <w:lang w:val="en-US" w:eastAsia="zh-CN" w:bidi="ar-SA"/>
                    </w:rPr>
                  </w:pPr>
                  <w:r>
                    <w:rPr>
                      <w:rFonts w:hint="eastAsia" w:ascii="仿宋" w:hAnsi="仿宋" w:eastAsia="仿宋" w:cs="仿宋"/>
                      <w:b w:val="0"/>
                      <w:bCs w:val="0"/>
                      <w:color w:val="auto"/>
                      <w:sz w:val="21"/>
                      <w:szCs w:val="21"/>
                      <w:vertAlign w:val="baseline"/>
                      <w:lang w:val="en-US" w:eastAsia="zh-CN"/>
                    </w:rPr>
                    <w:t>（</w:t>
                  </w:r>
                  <w:r>
                    <w:rPr>
                      <w:rFonts w:hint="default" w:ascii="Times New Roman" w:hAnsi="Times New Roman" w:cs="Times New Roman"/>
                      <w:sz w:val="21"/>
                      <w:szCs w:val="21"/>
                      <w:lang w:val="en-US" w:eastAsia="zh-CN"/>
                    </w:rPr>
                    <w:t>mg/m³</w:t>
                  </w:r>
                  <w:r>
                    <w:rPr>
                      <w:rFonts w:hint="eastAsia" w:ascii="仿宋" w:hAnsi="仿宋" w:eastAsia="仿宋" w:cs="仿宋"/>
                      <w:b w:val="0"/>
                      <w:bCs w:val="0"/>
                      <w:color w:val="auto"/>
                      <w:sz w:val="21"/>
                      <w:szCs w:val="21"/>
                      <w:vertAlign w:val="baseline"/>
                      <w:lang w:val="en-US" w:eastAsia="zh-CN"/>
                    </w:rPr>
                    <w:t>）</w:t>
                  </w:r>
                </w:p>
              </w:tc>
              <w:tc>
                <w:tcPr>
                  <w:tcW w:w="1551" w:type="dxa"/>
                  <w:noWrap w:val="0"/>
                  <w:vAlign w:val="center"/>
                </w:tcPr>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baseline"/>
                      <w:lang w:val="en-US" w:eastAsia="zh-CN"/>
                    </w:rPr>
                  </w:pPr>
                  <w:r>
                    <w:rPr>
                      <w:rFonts w:hint="eastAsia" w:ascii="仿宋" w:hAnsi="仿宋" w:eastAsia="仿宋" w:cs="仿宋"/>
                      <w:b w:val="0"/>
                      <w:bCs w:val="0"/>
                      <w:color w:val="auto"/>
                      <w:sz w:val="21"/>
                      <w:szCs w:val="21"/>
                      <w:vertAlign w:val="baseline"/>
                      <w:lang w:val="en-US" w:eastAsia="zh-CN"/>
                    </w:rPr>
                    <w:t>NOx</w:t>
                  </w:r>
                </w:p>
                <w:p>
                  <w:pPr>
                    <w:keepNext w:val="0"/>
                    <w:keepLines w:val="0"/>
                    <w:pageBreakBefore w:val="0"/>
                    <w:widowControl w:val="0"/>
                    <w:tabs>
                      <w:tab w:val="left" w:pos="429"/>
                    </w:tabs>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sz w:val="21"/>
                      <w:szCs w:val="21"/>
                      <w:vertAlign w:val="baseline"/>
                      <w:lang w:val="en-US" w:eastAsia="zh-CN" w:bidi="ar-SA"/>
                    </w:rPr>
                  </w:pPr>
                  <w:r>
                    <w:rPr>
                      <w:rFonts w:hint="eastAsia" w:ascii="仿宋" w:hAnsi="仿宋" w:eastAsia="仿宋" w:cs="仿宋"/>
                      <w:b w:val="0"/>
                      <w:bCs w:val="0"/>
                      <w:color w:val="auto"/>
                      <w:sz w:val="21"/>
                      <w:szCs w:val="21"/>
                      <w:vertAlign w:val="baseline"/>
                      <w:lang w:val="en-US" w:eastAsia="zh-CN"/>
                    </w:rPr>
                    <w:t>（</w:t>
                  </w:r>
                  <w:r>
                    <w:rPr>
                      <w:rFonts w:hint="default" w:ascii="Times New Roman" w:hAnsi="Times New Roman" w:cs="Times New Roman"/>
                      <w:sz w:val="21"/>
                      <w:szCs w:val="21"/>
                      <w:lang w:val="en-US" w:eastAsia="zh-CN"/>
                    </w:rPr>
                    <w:t>mg/m³</w:t>
                  </w:r>
                  <w:r>
                    <w:rPr>
                      <w:rFonts w:hint="eastAsia" w:ascii="仿宋" w:hAnsi="仿宋" w:eastAsia="仿宋" w:cs="仿宋"/>
                      <w:b w:val="0"/>
                      <w:bCs w:val="0"/>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厂界东</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第一批次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0.100</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0.009</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第二批次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0.083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第三批次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0.083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0.009</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均值</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0.087</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 xml:space="preserve">0.031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厂界南</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第一批次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0.117</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第二批次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0.133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第三批次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0.133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均值</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0.128</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 xml:space="preserve">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厂界西</w:t>
                  </w: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第一批次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0.083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第二批次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0.067</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0.006</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第三批次</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0.083</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0.008</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48"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p>
              </w:tc>
              <w:tc>
                <w:tcPr>
                  <w:tcW w:w="177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auto"/>
                      <w:kern w:val="2"/>
                      <w:sz w:val="21"/>
                      <w:szCs w:val="21"/>
                      <w:vertAlign w:val="baseline"/>
                      <w:lang w:val="en-US" w:eastAsia="zh-CN" w:bidi="ar-SA"/>
                    </w:rPr>
                  </w:pPr>
                  <w:r>
                    <w:rPr>
                      <w:rFonts w:hint="eastAsia" w:ascii="仿宋" w:hAnsi="仿宋" w:eastAsia="仿宋" w:cs="仿宋"/>
                      <w:b w:val="0"/>
                      <w:bCs w:val="0"/>
                      <w:color w:val="auto"/>
                      <w:kern w:val="2"/>
                      <w:sz w:val="21"/>
                      <w:szCs w:val="21"/>
                      <w:vertAlign w:val="baseline"/>
                      <w:lang w:val="en-US" w:eastAsia="zh-CN" w:bidi="ar-SA"/>
                    </w:rPr>
                    <w:t>均值</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0.078</w:t>
                  </w:r>
                </w:p>
              </w:tc>
              <w:tc>
                <w:tcPr>
                  <w:tcW w:w="155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0.007</w:t>
                  </w:r>
                </w:p>
              </w:tc>
              <w:tc>
                <w:tcPr>
                  <w:tcW w:w="1551" w:type="dxa"/>
                  <w:noWrap w:val="0"/>
                  <w:vAlign w:val="center"/>
                </w:tcPr>
                <w:p>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color w:val="auto"/>
                      <w:kern w:val="2"/>
                      <w:sz w:val="21"/>
                      <w:szCs w:val="21"/>
                      <w:vertAlign w:val="baseline"/>
                      <w:lang w:val="en-US" w:eastAsia="zh-CN" w:bidi="ar-SA"/>
                    </w:rPr>
                  </w:pPr>
                  <w:r>
                    <w:rPr>
                      <w:rFonts w:hint="eastAsia" w:ascii="仿宋" w:hAnsi="仿宋" w:eastAsia="仿宋" w:cs="仿宋"/>
                      <w:color w:val="auto"/>
                      <w:kern w:val="2"/>
                      <w:sz w:val="21"/>
                      <w:szCs w:val="21"/>
                      <w:vertAlign w:val="baseline"/>
                      <w:lang w:val="en-US" w:eastAsia="zh-CN" w:bidi="ar-SA"/>
                    </w:rPr>
                    <w:t xml:space="preserve">0.030 </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b w:val="0"/>
                <w:bCs w:val="0"/>
                <w:color w:val="000000"/>
                <w:sz w:val="24"/>
                <w:szCs w:val="24"/>
                <w:lang w:val="en-US" w:eastAsia="zh-CN"/>
              </w:rPr>
            </w:pPr>
            <w:r>
              <w:rPr>
                <w:rFonts w:hint="eastAsia" w:ascii="Times New Roman" w:hAnsi="Times New Roman" w:eastAsia="宋体" w:cs="Times New Roman"/>
                <w:b w:val="0"/>
                <w:bCs w:val="0"/>
                <w:color w:val="000000"/>
                <w:sz w:val="24"/>
                <w:szCs w:val="24"/>
                <w:lang w:val="en-US" w:eastAsia="zh-CN"/>
              </w:rPr>
              <w:t>3、废水：</w:t>
            </w:r>
          </w:p>
          <w:p>
            <w:pPr>
              <w:keepNext w:val="0"/>
              <w:keepLines w:val="0"/>
              <w:pageBreakBefore w:val="0"/>
              <w:widowControl/>
              <w:suppressLineNumbers w:val="0"/>
              <w:kinsoku/>
              <w:wordWrap/>
              <w:overflowPunct/>
              <w:topLinePunct w:val="0"/>
              <w:autoSpaceDE/>
              <w:autoSpaceDN/>
              <w:bidi w:val="0"/>
              <w:adjustRightInd w:val="0"/>
              <w:snapToGrid w:val="0"/>
              <w:spacing w:after="0" w:line="520" w:lineRule="exact"/>
              <w:ind w:firstLine="480" w:firstLineChars="200"/>
              <w:jc w:val="left"/>
              <w:textAlignment w:val="auto"/>
              <w:rPr>
                <w:rFonts w:hint="default" w:ascii="Times New Roman" w:hAnsi="Times New Roman" w:eastAsia="宋体" w:cs="Times New Roman"/>
                <w:sz w:val="24"/>
                <w:szCs w:val="24"/>
                <w:lang w:val="en-US" w:eastAsia="zh-CN"/>
              </w:rPr>
            </w:pPr>
            <w:r>
              <w:rPr>
                <w:rFonts w:hint="eastAsia" w:ascii="宋体" w:hAnsi="宋体" w:eastAsia="宋体" w:cs="宋体"/>
                <w:color w:val="auto"/>
                <w:sz w:val="24"/>
                <w:szCs w:val="24"/>
                <w:lang w:val="en-US" w:eastAsia="zh-CN"/>
              </w:rPr>
              <w:t>本项目废水排放满足</w:t>
            </w:r>
            <w:r>
              <w:rPr>
                <w:rFonts w:hint="eastAsia" w:ascii="Times New Roman" w:hAnsi="Times New Roman" w:eastAsia="宋体" w:cs="Times New Roman"/>
                <w:sz w:val="24"/>
                <w:szCs w:val="24"/>
                <w:lang w:val="en-US" w:eastAsia="zh-CN"/>
              </w:rPr>
              <w:t>生活污水接管前</w:t>
            </w:r>
            <w:r>
              <w:rPr>
                <w:rFonts w:hint="default" w:ascii="Times New Roman" w:hAnsi="Times New Roman" w:eastAsia="宋体" w:cs="Times New Roman"/>
                <w:sz w:val="24"/>
                <w:szCs w:val="24"/>
                <w:lang w:val="en-US" w:eastAsia="zh-CN"/>
              </w:rPr>
              <w:t>执行《污水综合排放标准（GB8978-</w:t>
            </w:r>
          </w:p>
          <w:p>
            <w:pPr>
              <w:keepNext w:val="0"/>
              <w:keepLines w:val="0"/>
              <w:pageBreakBefore w:val="0"/>
              <w:widowControl/>
              <w:suppressLineNumbers w:val="0"/>
              <w:kinsoku/>
              <w:wordWrap/>
              <w:overflowPunct/>
              <w:topLinePunct w:val="0"/>
              <w:autoSpaceDE/>
              <w:autoSpaceDN/>
              <w:bidi w:val="0"/>
              <w:adjustRightInd w:val="0"/>
              <w:snapToGrid w:val="0"/>
              <w:spacing w:after="0" w:line="520" w:lineRule="exact"/>
              <w:jc w:val="left"/>
              <w:textAlignment w:val="auto"/>
              <w:rPr>
                <w:rFonts w:hint="eastAsia" w:ascii="宋体" w:hAnsi="宋体" w:eastAsia="宋体" w:cs="宋体"/>
                <w:color w:val="000000"/>
                <w:sz w:val="24"/>
                <w:szCs w:val="24"/>
                <w:lang w:val="en-US" w:eastAsia="zh-CN"/>
              </w:rPr>
            </w:pPr>
            <w:r>
              <w:rPr>
                <w:rFonts w:hint="default" w:ascii="Times New Roman" w:hAnsi="Times New Roman" w:eastAsia="宋体" w:cs="Times New Roman"/>
                <w:sz w:val="24"/>
                <w:szCs w:val="24"/>
                <w:lang w:val="en-US" w:eastAsia="zh-CN"/>
              </w:rPr>
              <w:t>1996）一级标准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具体检测结果见下表。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sz w:val="24"/>
                <w:szCs w:val="24"/>
                <w:vertAlign w:val="baseline"/>
                <w:lang w:val="en-US" w:eastAsia="zh-CN"/>
              </w:rPr>
            </w:pPr>
            <w:r>
              <w:rPr>
                <w:rFonts w:hint="eastAsia" w:ascii="Times New Roman" w:hAnsi="Times New Roman" w:eastAsia="宋体" w:cs="Times New Roman"/>
                <w:b/>
                <w:bCs/>
                <w:color w:val="000000"/>
                <w:sz w:val="24"/>
                <w:szCs w:val="24"/>
                <w:lang w:val="en-US" w:eastAsia="zh-CN"/>
              </w:rPr>
              <w:t>表11-2 废水检测结果</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61"/>
              <w:gridCol w:w="1121"/>
              <w:gridCol w:w="1121"/>
              <w:gridCol w:w="1121"/>
              <w:gridCol w:w="1122"/>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4"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分析日期</w:t>
                  </w:r>
                </w:p>
              </w:tc>
              <w:tc>
                <w:tcPr>
                  <w:tcW w:w="4145" w:type="pct"/>
                  <w:gridSpan w:val="6"/>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2021.12.28-2022.01.02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4"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采样时间</w:t>
                  </w:r>
                </w:p>
              </w:tc>
              <w:tc>
                <w:tcPr>
                  <w:tcW w:w="760"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lang w:val="en-US" w:eastAsia="zh-CN"/>
                    </w:rPr>
                    <w:t>采样点位</w:t>
                  </w:r>
                </w:p>
              </w:tc>
              <w:tc>
                <w:tcPr>
                  <w:tcW w:w="3384" w:type="pct"/>
                  <w:gridSpan w:val="5"/>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sz w:val="21"/>
                      <w:szCs w:val="21"/>
                      <w:lang w:val="en-US" w:eastAsia="zh-CN"/>
                    </w:rPr>
                    <w:t>检测结果 单位：mg/L，pH无量纲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4"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760"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1"/>
                      <w:szCs w:val="21"/>
                    </w:rPr>
                  </w:pP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监测项目</w:t>
                  </w: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第一次</w:t>
                  </w: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第二次</w:t>
                  </w:r>
                </w:p>
              </w:tc>
              <w:tc>
                <w:tcPr>
                  <w:tcW w:w="676"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第三次</w:t>
                  </w:r>
                </w:p>
              </w:tc>
              <w:tc>
                <w:tcPr>
                  <w:tcW w:w="680"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cs="Times New Roman"/>
                      <w:kern w:val="2"/>
                      <w:sz w:val="21"/>
                      <w:szCs w:val="21"/>
                      <w:vertAlign w:val="baseline"/>
                      <w:lang w:val="en-US" w:eastAsia="zh-CN" w:bidi="ar-SA"/>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4"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2021.12.28</w:t>
                  </w:r>
                </w:p>
              </w:tc>
              <w:tc>
                <w:tcPr>
                  <w:tcW w:w="760" w:type="pct"/>
                  <w:vMerge w:val="restar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生活污水排放口</w:t>
                  </w: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COD</w:t>
                  </w:r>
                  <w:r>
                    <w:rPr>
                      <w:rFonts w:hint="eastAsia" w:ascii="Times New Roman" w:hAnsi="Times New Roman" w:eastAsia="宋体" w:cs="Times New Roman"/>
                      <w:kern w:val="2"/>
                      <w:sz w:val="21"/>
                      <w:szCs w:val="21"/>
                      <w:vertAlign w:val="subscript"/>
                      <w:lang w:val="en-US" w:eastAsia="zh-CN" w:bidi="ar-SA"/>
                    </w:rPr>
                    <w:t>cr</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47</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49</w:t>
                  </w:r>
                </w:p>
              </w:tc>
              <w:tc>
                <w:tcPr>
                  <w:tcW w:w="676"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44</w:t>
                  </w:r>
                </w:p>
              </w:tc>
              <w:tc>
                <w:tcPr>
                  <w:tcW w:w="680"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4"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60"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氨氮</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3.24</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3.19</w:t>
                  </w:r>
                </w:p>
              </w:tc>
              <w:tc>
                <w:tcPr>
                  <w:tcW w:w="676"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3.07</w:t>
                  </w:r>
                </w:p>
              </w:tc>
              <w:tc>
                <w:tcPr>
                  <w:tcW w:w="680"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4"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60"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SS</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15</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18</w:t>
                  </w:r>
                </w:p>
              </w:tc>
              <w:tc>
                <w:tcPr>
                  <w:tcW w:w="676"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11</w:t>
                  </w:r>
                </w:p>
              </w:tc>
              <w:tc>
                <w:tcPr>
                  <w:tcW w:w="680"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4"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760" w:type="pct"/>
                  <w:vMerge w:val="continue"/>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sz w:val="21"/>
                      <w:szCs w:val="21"/>
                      <w:lang w:val="en-US" w:eastAsia="zh-CN"/>
                    </w:rPr>
                  </w:pPr>
                </w:p>
              </w:tc>
              <w:tc>
                <w:tcPr>
                  <w:tcW w:w="675" w:type="pct"/>
                  <w:vAlign w:val="center"/>
                </w:tcPr>
                <w:p>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kern w:val="2"/>
                      <w:sz w:val="21"/>
                      <w:szCs w:val="21"/>
                      <w:vertAlign w:val="baseline"/>
                      <w:lang w:val="en-US" w:eastAsia="zh-CN" w:bidi="ar-SA"/>
                    </w:rPr>
                    <w:t>BOD</w:t>
                  </w:r>
                  <w:r>
                    <w:rPr>
                      <w:rFonts w:hint="default" w:ascii="Times New Roman" w:hAnsi="Times New Roman" w:eastAsia="宋体" w:cs="Times New Roman"/>
                      <w:kern w:val="2"/>
                      <w:sz w:val="21"/>
                      <w:szCs w:val="21"/>
                      <w:vertAlign w:val="subscript"/>
                      <w:lang w:val="en-US" w:eastAsia="zh-CN" w:bidi="ar-SA"/>
                    </w:rPr>
                    <w:t>5</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11.5</w:t>
                  </w:r>
                </w:p>
              </w:tc>
              <w:tc>
                <w:tcPr>
                  <w:tcW w:w="67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9.5</w:t>
                  </w:r>
                </w:p>
              </w:tc>
              <w:tc>
                <w:tcPr>
                  <w:tcW w:w="676"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7.5</w:t>
                  </w:r>
                </w:p>
              </w:tc>
              <w:tc>
                <w:tcPr>
                  <w:tcW w:w="680"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sz w:val="21"/>
                      <w:szCs w:val="21"/>
                      <w:vertAlign w:val="baseline"/>
                      <w:lang w:val="en-US" w:eastAsia="zh-CN" w:bidi="ar-SA"/>
                    </w:rPr>
                  </w:pPr>
                  <w:r>
                    <w:rPr>
                      <w:rFonts w:hint="eastAsia" w:ascii="仿宋" w:hAnsi="仿宋" w:eastAsia="仿宋" w:cs="仿宋"/>
                      <w:sz w:val="21"/>
                      <w:szCs w:val="21"/>
                      <w:vertAlign w:val="baseline"/>
                      <w:lang w:val="en-US" w:eastAsia="zh-CN" w:bidi="ar-SA"/>
                    </w:rPr>
                    <w:t>9.5</w:t>
                  </w:r>
                </w:p>
              </w:tc>
            </w:tr>
          </w:tbl>
          <w:p>
            <w:pPr>
              <w:keepNext w:val="0"/>
              <w:keepLines w:val="0"/>
              <w:pageBreakBefore w:val="0"/>
              <w:widowControl/>
              <w:kinsoku/>
              <w:wordWrap/>
              <w:overflowPunct/>
              <w:topLinePunct w:val="0"/>
              <w:bidi w:val="0"/>
              <w:adjustRightInd w:val="0"/>
              <w:snapToGrid w:val="0"/>
              <w:spacing w:after="0" w:line="520" w:lineRule="exact"/>
              <w:ind w:firstLine="480" w:firstLineChars="200"/>
              <w:jc w:val="both"/>
              <w:textAlignment w:val="auto"/>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、厂界噪声</w:t>
            </w:r>
          </w:p>
          <w:p>
            <w:pPr>
              <w:keepNext w:val="0"/>
              <w:keepLines w:val="0"/>
              <w:pageBreakBefore w:val="0"/>
              <w:widowControl/>
              <w:numPr>
                <w:ilvl w:val="0"/>
                <w:numId w:val="0"/>
              </w:numPr>
              <w:kinsoku/>
              <w:wordWrap/>
              <w:overflowPunct/>
              <w:topLinePunct w:val="0"/>
              <w:autoSpaceDE w:val="0"/>
              <w:autoSpaceDN w:val="0"/>
              <w:bidi w:val="0"/>
              <w:adjustRightInd w:val="0"/>
              <w:snapToGrid w:val="0"/>
              <w:spacing w:after="0" w:line="520" w:lineRule="exact"/>
              <w:ind w:firstLine="480" w:firstLineChars="200"/>
              <w:jc w:val="both"/>
              <w:textAlignment w:val="auto"/>
              <w:rPr>
                <w:color w:val="auto"/>
              </w:rPr>
            </w:pPr>
            <w:r>
              <w:rPr>
                <w:rFonts w:ascii="Times New Roman" w:hAnsi="Times New Roman" w:eastAsia="宋体"/>
                <w:color w:val="auto"/>
                <w:sz w:val="24"/>
                <w:szCs w:val="24"/>
              </w:rPr>
              <w:t>厂界环境噪声排放满足《工业企业厂界环境噪声排放标准》（GB12348-2008）中的</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类标准，为达标排放。</w:t>
            </w:r>
          </w:p>
          <w:tbl>
            <w:tblPr>
              <w:tblStyle w:val="18"/>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624"/>
              <w:gridCol w:w="2405"/>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检测结果</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dB（A）</w:t>
                  </w:r>
                </w:p>
              </w:tc>
              <w:tc>
                <w:tcPr>
                  <w:tcW w:w="1624" w:type="dxa"/>
                  <w:vMerge w:val="restar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检测点位</w:t>
                  </w:r>
                </w:p>
              </w:tc>
              <w:tc>
                <w:tcPr>
                  <w:tcW w:w="483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38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rPr>
                  </w:pPr>
                </w:p>
              </w:tc>
              <w:tc>
                <w:tcPr>
                  <w:tcW w:w="16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auto"/>
                    </w:rPr>
                  </w:pPr>
                </w:p>
              </w:tc>
              <w:tc>
                <w:tcPr>
                  <w:tcW w:w="240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bidi="ar-SA"/>
                    </w:rPr>
                    <w:t>2021.12.28</w:t>
                  </w:r>
                </w:p>
              </w:tc>
              <w:tc>
                <w:tcPr>
                  <w:tcW w:w="242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bidi="ar-SA"/>
                    </w:rPr>
                    <w:t>2021.12.29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kern w:val="2"/>
                      <w:sz w:val="24"/>
                      <w:szCs w:val="24"/>
                      <w:lang w:val="en-US" w:eastAsia="zh-CN" w:bidi="ar-SA"/>
                    </w:rPr>
                  </w:pPr>
                </w:p>
              </w:tc>
              <w:tc>
                <w:tcPr>
                  <w:tcW w:w="24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昼</w:t>
                  </w:r>
                </w:p>
              </w:tc>
              <w:tc>
                <w:tcPr>
                  <w:tcW w:w="24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1#东</w:t>
                  </w:r>
                </w:p>
              </w:tc>
              <w:tc>
                <w:tcPr>
                  <w:tcW w:w="24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60.3</w:t>
                  </w:r>
                </w:p>
              </w:tc>
              <w:tc>
                <w:tcPr>
                  <w:tcW w:w="24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2#南</w:t>
                  </w:r>
                </w:p>
              </w:tc>
              <w:tc>
                <w:tcPr>
                  <w:tcW w:w="24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61.1</w:t>
                  </w:r>
                </w:p>
              </w:tc>
              <w:tc>
                <w:tcPr>
                  <w:tcW w:w="24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bidi="ar-SA"/>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38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3#西</w:t>
                  </w:r>
                </w:p>
              </w:tc>
              <w:tc>
                <w:tcPr>
                  <w:tcW w:w="24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58.0</w:t>
                  </w:r>
                </w:p>
              </w:tc>
              <w:tc>
                <w:tcPr>
                  <w:tcW w:w="24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82" w:type="dxa"/>
                  <w:vMerge w:val="continue"/>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4"/>
                      <w:szCs w:val="24"/>
                    </w:rPr>
                  </w:pPr>
                </w:p>
              </w:tc>
              <w:tc>
                <w:tcPr>
                  <w:tcW w:w="162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4#北</w:t>
                  </w:r>
                </w:p>
              </w:tc>
              <w:tc>
                <w:tcPr>
                  <w:tcW w:w="2405"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53.6</w:t>
                  </w:r>
                </w:p>
              </w:tc>
              <w:tc>
                <w:tcPr>
                  <w:tcW w:w="2428"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8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vertAlign w:val="baseline"/>
                      <w:lang w:val="en-US" w:eastAsia="zh-CN"/>
                    </w:rPr>
                    <w:t>气相条件</w:t>
                  </w:r>
                </w:p>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val="0"/>
                      <w:bCs w:val="0"/>
                      <w:color w:val="auto"/>
                      <w:kern w:val="2"/>
                      <w:sz w:val="24"/>
                      <w:szCs w:val="24"/>
                      <w:vertAlign w:val="baseline"/>
                      <w:lang w:val="en-US" w:eastAsia="zh-CN" w:bidi="ar-SA"/>
                    </w:rPr>
                  </w:pPr>
                </w:p>
              </w:tc>
              <w:tc>
                <w:tcPr>
                  <w:tcW w:w="6457"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b w:val="0"/>
                      <w:bCs w:val="0"/>
                      <w:color w:val="auto"/>
                      <w:kern w:val="2"/>
                      <w:sz w:val="24"/>
                      <w:szCs w:val="24"/>
                      <w:vertAlign w:val="baseline"/>
                      <w:lang w:val="en-US" w:eastAsia="zh-CN" w:bidi="ar-SA"/>
                    </w:rPr>
                  </w:pPr>
                  <w:r>
                    <w:rPr>
                      <w:rFonts w:hint="eastAsia" w:ascii="仿宋" w:hAnsi="仿宋" w:eastAsia="仿宋" w:cs="仿宋"/>
                      <w:b w:val="0"/>
                      <w:bCs w:val="0"/>
                      <w:color w:val="auto"/>
                      <w:sz w:val="24"/>
                      <w:szCs w:val="24"/>
                      <w:vertAlign w:val="baseline"/>
                      <w:lang w:val="en-US" w:eastAsia="zh-CN"/>
                    </w:rPr>
                    <w:t>昼：晴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382"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c>
                <w:tcPr>
                  <w:tcW w:w="6457" w:type="dxa"/>
                  <w:gridSpan w:val="3"/>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jc w:val="both"/>
                    <w:textAlignment w:val="auto"/>
                    <w:rPr>
                      <w:rFonts w:hint="default" w:ascii="仿宋" w:hAnsi="仿宋" w:eastAsia="仿宋" w:cs="仿宋"/>
                      <w:color w:val="auto"/>
                      <w:sz w:val="24"/>
                      <w:szCs w:val="24"/>
                      <w:lang w:val="en-US" w:eastAsia="zh-CN"/>
                    </w:rPr>
                  </w:pPr>
                </w:p>
              </w:tc>
            </w:tr>
          </w:tbl>
          <w:p>
            <w:pPr>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240" w:lineRule="auto"/>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240" w:lineRule="auto"/>
              <w:jc w:val="center"/>
              <w:textAlignment w:val="auto"/>
              <w:rPr>
                <w:rFonts w:hint="default" w:eastAsia="微软雅黑"/>
                <w:color w:val="FF0000"/>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eastAsia" w:ascii="仿宋" w:hAnsi="仿宋" w:eastAsia="仿宋" w:cs="仿宋"/>
          <w:b w:val="0"/>
          <w:bCs w:val="0"/>
          <w:color w:val="FF0000"/>
          <w:kern w:val="2"/>
          <w:sz w:val="24"/>
          <w:szCs w:val="24"/>
          <w:vertAlign w:val="baseline"/>
          <w:lang w:val="en-US" w:eastAsia="zh-CN" w:bidi="ar-S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6" w:hRule="atLeast"/>
        </w:trPr>
        <w:tc>
          <w:tcPr>
            <w:tcW w:w="5000" w:type="pct"/>
          </w:tcPr>
          <w:p>
            <w:pPr>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十二、</w:t>
            </w:r>
            <w:r>
              <w:rPr>
                <w:rFonts w:hint="eastAsia" w:ascii="宋体" w:hAnsi="宋体" w:eastAsia="宋体" w:cs="宋体"/>
                <w:b/>
                <w:bCs/>
                <w:color w:val="auto"/>
                <w:sz w:val="24"/>
                <w:szCs w:val="24"/>
              </w:rPr>
              <w:t>验收检测结论：</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sz w:val="24"/>
                <w:szCs w:val="24"/>
                <w:lang w:val="en-US" w:eastAsia="zh-CN"/>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、废气：</w:t>
            </w:r>
            <w:r>
              <w:rPr>
                <w:rFonts w:hint="eastAsia" w:ascii="Times New Roman" w:hAnsi="Times New Roman" w:eastAsia="宋体" w:cs="Times New Roman"/>
                <w:sz w:val="24"/>
                <w:szCs w:val="24"/>
                <w:lang w:val="en-US" w:eastAsia="zh-CN"/>
              </w:rPr>
              <w:t>本项目火烧机有组织废气中颗粒物、SO2、NOx满足上海市《工业炉窑大气污染物排放标准》（DB31 860-2014）表1排放浓度要求；无组织排放执行《大气污染物综合排放标准》（GB16297－1996）二级标准及无组织排放监控浓度限值浓度</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2、废水：</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lang w:val="en-US" w:eastAsia="zh-CN"/>
              </w:rPr>
              <w:t>中主要污染物排放浓度满足《污水综合排放标准（GB8978-1996）一级标准</w:t>
            </w:r>
            <w:r>
              <w:rPr>
                <w:rFonts w:hint="eastAsia"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2、噪声：厂界环境噪声排放满足《工业企业厂界环境噪声排放标准》（GB12348-2008）中的3类标准，为达标排放。</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3、固废：本项目所有废弃物全部做到资源化或无害化处理，对周围环境影响较小。</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4、总量控制指标：项目总量的颗粒物为0.0021t/a，NOx0.0039t/a，符合总量控制要求，为达标排放。</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5、建设项目100米卫生防护距离内无居民、学校等环境敏感点，满足卫生防护距离的要求。</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综上所述，本次阶段性验收符合验收条件。</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80" w:firstLineChars="200"/>
              <w:jc w:val="both"/>
              <w:textAlignment w:val="auto"/>
              <w:rPr>
                <w:rFonts w:hint="eastAsia" w:ascii="Times New Roman" w:hAnsi="Times New Roman" w:eastAsia="宋体" w:cs="Times New Roman"/>
                <w:sz w:val="24"/>
                <w:szCs w:val="24"/>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both"/>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p>
            <w:pPr>
              <w:keepNext w:val="0"/>
              <w:keepLines w:val="0"/>
              <w:pageBreakBefore w:val="0"/>
              <w:widowControl w:val="0"/>
              <w:kinsoku/>
              <w:wordWrap/>
              <w:overflowPunct/>
              <w:topLinePunct w:val="0"/>
              <w:autoSpaceDE/>
              <w:autoSpaceDN/>
              <w:bidi w:val="0"/>
              <w:spacing w:after="0" w:line="520" w:lineRule="exact"/>
              <w:jc w:val="center"/>
              <w:textAlignment w:val="auto"/>
              <w:rPr>
                <w:rFonts w:hint="eastAsia" w:ascii="宋体" w:hAnsi="宋体" w:eastAsia="宋体" w:cs="宋体"/>
                <w:b/>
                <w:bCs/>
                <w:color w:val="auto"/>
                <w:sz w:val="21"/>
                <w:szCs w:val="21"/>
                <w:vertAlign w:val="baseline"/>
                <w:lang w:val="en-US" w:eastAsia="zh-CN"/>
              </w:rPr>
            </w:pPr>
          </w:p>
        </w:tc>
      </w:tr>
    </w:tbl>
    <w:p>
      <w:pPr>
        <w:pStyle w:val="24"/>
        <w:spacing w:line="400" w:lineRule="exact"/>
        <w:rPr>
          <w:rFonts w:ascii="Times New Roman" w:hAnsi="Times New Roman"/>
          <w:color w:val="FF0000"/>
          <w:sz w:val="18"/>
          <w:szCs w:val="1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4"/>
        <w:spacing w:line="240" w:lineRule="auto"/>
        <w:jc w:val="left"/>
        <w:rPr>
          <w:rFonts w:hint="eastAsia" w:ascii="宋体" w:hAnsi="宋体" w:eastAsia="宋体" w:cs="宋体"/>
          <w:b/>
          <w:bCs/>
          <w:color w:val="FF0000"/>
          <w:sz w:val="21"/>
          <w:szCs w:val="21"/>
          <w:vertAlign w:val="baseline"/>
          <w:lang w:val="en-US" w:eastAsia="zh-CN" w:bidi="ar-SA"/>
        </w:r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5064760</wp:posOffset>
            </wp:positionH>
            <wp:positionV relativeFrom="paragraph">
              <wp:posOffset>-396240</wp:posOffset>
            </wp:positionV>
            <wp:extent cx="663575" cy="755650"/>
            <wp:effectExtent l="0" t="0" r="0" b="5715"/>
            <wp:wrapNone/>
            <wp:docPr id="8" name="图片 8" descr="4f8ce86b32abe961deca2fb4bfe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f8ce86b32abe961deca2fb4bfe0091"/>
                    <pic:cNvPicPr>
                      <a:picLocks noChangeAspect="1"/>
                    </pic:cNvPicPr>
                  </pic:nvPicPr>
                  <pic:blipFill>
                    <a:blip r:embed="rId16"/>
                    <a:stretch>
                      <a:fillRect/>
                    </a:stretch>
                  </pic:blipFill>
                  <pic:spPr>
                    <a:xfrm>
                      <a:off x="0" y="0"/>
                      <a:ext cx="663575" cy="755650"/>
                    </a:xfrm>
                    <a:prstGeom prst="rect">
                      <a:avLst/>
                    </a:prstGeom>
                  </pic:spPr>
                </pic:pic>
              </a:graphicData>
            </a:graphic>
          </wp:anchor>
        </w:drawing>
      </w:r>
    </w:p>
    <w:p>
      <w:pPr>
        <w:pStyle w:val="24"/>
        <w:spacing w:line="240" w:lineRule="auto"/>
        <w:jc w:val="left"/>
        <w:rPr>
          <w:rFonts w:hint="eastAsia" w:ascii="宋体" w:hAnsi="宋体" w:eastAsia="宋体" w:cs="宋体"/>
          <w:b/>
          <w:bCs/>
          <w:color w:val="FF0000"/>
          <w:sz w:val="21"/>
          <w:szCs w:val="21"/>
          <w:vertAlign w:val="baseline"/>
          <w:lang w:val="en-US" w:eastAsia="zh-CN" w:bidi="ar-SA"/>
        </w:rPr>
      </w:pPr>
      <w:r>
        <w:rPr>
          <w:rFonts w:hint="eastAsia" w:ascii="宋体" w:hAnsi="宋体" w:eastAsia="宋体" w:cs="宋体"/>
          <w:b/>
          <w:bCs/>
          <w:color w:val="FF0000"/>
          <w:sz w:val="21"/>
          <w:szCs w:val="21"/>
          <w:vertAlign w:val="baseline"/>
          <w:lang w:val="en-US" w:eastAsia="zh-CN" w:bidi="ar-SA"/>
        </w:rPr>
        <w:drawing>
          <wp:anchor distT="0" distB="0" distL="114300" distR="114300" simplePos="0" relativeHeight="251663360" behindDoc="0" locked="0" layoutInCell="1" allowOverlap="1">
            <wp:simplePos x="0" y="0"/>
            <wp:positionH relativeFrom="column">
              <wp:posOffset>-245745</wp:posOffset>
            </wp:positionH>
            <wp:positionV relativeFrom="paragraph">
              <wp:posOffset>76200</wp:posOffset>
            </wp:positionV>
            <wp:extent cx="5904230" cy="5634990"/>
            <wp:effectExtent l="0" t="0" r="1270" b="3810"/>
            <wp:wrapTopAndBottom/>
            <wp:docPr id="7" name="图片 7" descr="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面布置图"/>
                    <pic:cNvPicPr>
                      <a:picLocks noChangeAspect="1"/>
                    </pic:cNvPicPr>
                  </pic:nvPicPr>
                  <pic:blipFill>
                    <a:blip r:embed="rId17"/>
                    <a:srcRect l="22065" t="6110" r="34895" b="3748"/>
                    <a:stretch>
                      <a:fillRect/>
                    </a:stretch>
                  </pic:blipFill>
                  <pic:spPr>
                    <a:xfrm>
                      <a:off x="0" y="0"/>
                      <a:ext cx="5904230" cy="5634990"/>
                    </a:xfrm>
                    <a:prstGeom prst="rect">
                      <a:avLst/>
                    </a:prstGeom>
                  </pic:spPr>
                </pic:pic>
              </a:graphicData>
            </a:graphic>
          </wp:anchor>
        </w:drawing>
      </w:r>
    </w:p>
    <w:p>
      <w:pPr>
        <w:pStyle w:val="24"/>
        <w:spacing w:line="240" w:lineRule="auto"/>
        <w:jc w:val="left"/>
        <w:rPr>
          <w:rFonts w:hint="eastAsia" w:ascii="宋体" w:hAnsi="宋体" w:eastAsia="宋体" w:cs="宋体"/>
          <w:b/>
          <w:bCs/>
          <w:color w:val="FF0000"/>
          <w:sz w:val="21"/>
          <w:szCs w:val="21"/>
          <w:vertAlign w:val="baseline"/>
          <w:lang w:val="en-US" w:eastAsia="zh-CN" w:bidi="ar-SA"/>
        </w:rPr>
      </w:pPr>
    </w:p>
    <w:p>
      <w:pPr>
        <w:pStyle w:val="24"/>
        <w:spacing w:line="240" w:lineRule="auto"/>
        <w:jc w:val="center"/>
        <w:rPr>
          <w:rFonts w:hint="eastAsia" w:ascii="宋体" w:hAnsi="宋体" w:eastAsia="宋体" w:cs="宋体"/>
          <w:b/>
          <w:bCs/>
          <w:color w:val="FF0000"/>
          <w:sz w:val="21"/>
          <w:szCs w:val="21"/>
          <w:vertAlign w:val="baseli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21"/>
          <w:szCs w:val="21"/>
          <w:vertAlign w:val="baseline"/>
          <w:lang w:val="en-US" w:eastAsia="zh-CN" w:bidi="ar-SA"/>
        </w:rPr>
        <w:t>图</w:t>
      </w:r>
      <w:r>
        <w:rPr>
          <w:rFonts w:hint="eastAsia" w:cs="宋体"/>
          <w:b/>
          <w:bCs/>
          <w:color w:val="auto"/>
          <w:sz w:val="21"/>
          <w:szCs w:val="21"/>
          <w:vertAlign w:val="baseline"/>
          <w:lang w:val="en-US" w:eastAsia="zh-CN" w:bidi="ar-SA"/>
        </w:rPr>
        <w:t>8</w:t>
      </w:r>
      <w:r>
        <w:rPr>
          <w:rFonts w:hint="eastAsia" w:ascii="宋体" w:hAnsi="宋体" w:eastAsia="宋体" w:cs="宋体"/>
          <w:b/>
          <w:bCs/>
          <w:color w:val="auto"/>
          <w:sz w:val="21"/>
          <w:szCs w:val="21"/>
          <w:vertAlign w:val="baseline"/>
          <w:lang w:val="en-US" w:eastAsia="zh-CN" w:bidi="ar-SA"/>
        </w:rPr>
        <w:t>：厂区平面布局图</w:t>
      </w:r>
    </w:p>
    <w:tbl>
      <w:tblPr>
        <w:tblStyle w:val="17"/>
        <w:tblW w:w="15022" w:type="dxa"/>
        <w:jc w:val="center"/>
        <w:tblLayout w:type="fixed"/>
        <w:tblCellMar>
          <w:top w:w="0" w:type="dxa"/>
          <w:left w:w="108" w:type="dxa"/>
          <w:bottom w:w="0" w:type="dxa"/>
          <w:right w:w="108" w:type="dxa"/>
        </w:tblCellMar>
      </w:tblPr>
      <w:tblGrid>
        <w:gridCol w:w="895"/>
        <w:gridCol w:w="999"/>
        <w:gridCol w:w="799"/>
        <w:gridCol w:w="468"/>
        <w:gridCol w:w="465"/>
        <w:gridCol w:w="1015"/>
        <w:gridCol w:w="725"/>
        <w:gridCol w:w="953"/>
        <w:gridCol w:w="532"/>
        <w:gridCol w:w="450"/>
        <w:gridCol w:w="62"/>
        <w:gridCol w:w="906"/>
        <w:gridCol w:w="470"/>
        <w:gridCol w:w="62"/>
        <w:gridCol w:w="435"/>
        <w:gridCol w:w="309"/>
        <w:gridCol w:w="1289"/>
        <w:gridCol w:w="1483"/>
        <w:gridCol w:w="324"/>
        <w:gridCol w:w="828"/>
        <w:gridCol w:w="797"/>
        <w:gridCol w:w="756"/>
      </w:tblGrid>
      <w:tr>
        <w:tblPrEx>
          <w:tblCellMar>
            <w:top w:w="0" w:type="dxa"/>
            <w:left w:w="108" w:type="dxa"/>
            <w:bottom w:w="0" w:type="dxa"/>
            <w:right w:w="108" w:type="dxa"/>
          </w:tblCellMar>
        </w:tblPrEx>
        <w:trPr>
          <w:trHeight w:val="250" w:hRule="atLeast"/>
          <w:jc w:val="center"/>
        </w:trPr>
        <w:tc>
          <w:tcPr>
            <w:tcW w:w="15022" w:type="dxa"/>
            <w:gridSpan w:val="22"/>
            <w:tcBorders>
              <w:top w:val="nil"/>
              <w:left w:val="nil"/>
              <w:bottom w:val="nil"/>
              <w:right w:val="nil"/>
            </w:tcBorders>
            <w:vAlign w:val="center"/>
          </w:tcPr>
          <w:p>
            <w:pPr>
              <w:pStyle w:val="24"/>
              <w:spacing w:line="400" w:lineRule="exact"/>
              <w:rPr>
                <w:rFonts w:ascii="Times New Roman" w:hAnsi="Times New Roman"/>
                <w:color w:val="auto"/>
                <w:sz w:val="18"/>
                <w:szCs w:val="18"/>
              </w:rPr>
            </w:pPr>
            <w:r>
              <w:rPr>
                <w:rFonts w:ascii="Times New Roman" w:hAnsi="Times New Roman"/>
                <w:color w:val="auto"/>
                <w:sz w:val="18"/>
                <w:szCs w:val="18"/>
              </w:rPr>
              <w:t>建设项目工程竣工环境保护“三同时”验收登记表</w:t>
            </w:r>
          </w:p>
        </w:tc>
      </w:tr>
      <w:tr>
        <w:tblPrEx>
          <w:tblCellMar>
            <w:top w:w="0" w:type="dxa"/>
            <w:left w:w="108" w:type="dxa"/>
            <w:bottom w:w="0" w:type="dxa"/>
            <w:right w:w="108" w:type="dxa"/>
          </w:tblCellMar>
        </w:tblPrEx>
        <w:trPr>
          <w:jc w:val="center"/>
        </w:trPr>
        <w:tc>
          <w:tcPr>
            <w:tcW w:w="2693" w:type="dxa"/>
            <w:gridSpan w:val="3"/>
            <w:tcBorders>
              <w:top w:val="single" w:color="auto" w:sz="4" w:space="0"/>
              <w:left w:val="single" w:color="auto" w:sz="4" w:space="0"/>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填表单位（盖章）：</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r>
              <w:rPr>
                <w:rFonts w:hint="eastAsia" w:ascii="Times New Roman" w:hAnsi="Times New Roman"/>
                <w:color w:val="auto"/>
                <w:sz w:val="18"/>
                <w:szCs w:val="18"/>
                <w:lang w:val="en-US" w:eastAsia="zh-CN"/>
              </w:rPr>
              <w:t>宁国市刘宏甫石材加工厂</w:t>
            </w:r>
            <w:r>
              <w:rPr>
                <w:rFonts w:ascii="Times New Roman" w:hAnsi="Times New Roman"/>
                <w:color w:val="auto"/>
                <w:sz w:val="18"/>
                <w:szCs w:val="18"/>
              </w:rPr>
              <w:t>　</w:t>
            </w:r>
          </w:p>
        </w:tc>
        <w:tc>
          <w:tcPr>
            <w:tcW w:w="1950" w:type="dxa"/>
            <w:gridSpan w:val="4"/>
            <w:tcBorders>
              <w:top w:val="single" w:color="auto" w:sz="4" w:space="0"/>
              <w:left w:val="nil"/>
              <w:bottom w:val="single" w:color="auto" w:sz="4" w:space="0"/>
              <w:right w:val="single" w:color="000000" w:sz="4" w:space="0"/>
            </w:tcBorders>
            <w:shd w:val="clear" w:color="auto" w:fill="auto"/>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填表人（签字）：　</w:t>
            </w:r>
          </w:p>
        </w:tc>
        <w:tc>
          <w:tcPr>
            <w:tcW w:w="2565" w:type="dxa"/>
            <w:gridSpan w:val="5"/>
            <w:tcBorders>
              <w:top w:val="single" w:color="auto" w:sz="4" w:space="0"/>
              <w:left w:val="single" w:color="000000" w:sz="4" w:space="0"/>
              <w:bottom w:val="single" w:color="auto" w:sz="4" w:space="0"/>
              <w:right w:val="single" w:color="auto" w:sz="4" w:space="0"/>
            </w:tcBorders>
            <w:shd w:val="clear" w:color="auto" w:fill="auto"/>
            <w:vAlign w:val="center"/>
          </w:tcPr>
          <w:p>
            <w:pPr>
              <w:pStyle w:val="24"/>
              <w:spacing w:line="240" w:lineRule="exact"/>
              <w:rPr>
                <w:rFonts w:hint="eastAsia" w:ascii="Times New Roman" w:hAnsi="Times New Roman" w:eastAsia="宋体"/>
                <w:color w:val="auto"/>
                <w:sz w:val="18"/>
                <w:szCs w:val="18"/>
                <w:lang w:eastAsia="zh-CN"/>
              </w:rPr>
            </w:pP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项目经办人（签字):</w:t>
            </w:r>
          </w:p>
        </w:tc>
        <w:tc>
          <w:tcPr>
            <w:tcW w:w="2381" w:type="dxa"/>
            <w:gridSpan w:val="3"/>
            <w:tcBorders>
              <w:top w:val="single" w:color="auto" w:sz="4" w:space="0"/>
              <w:left w:val="nil"/>
              <w:bottom w:val="single" w:color="auto" w:sz="4" w:space="0"/>
              <w:right w:val="single" w:color="000000"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restart"/>
            <w:tcBorders>
              <w:top w:val="nil"/>
              <w:left w:val="single" w:color="auto" w:sz="4" w:space="0"/>
              <w:bottom w:val="single" w:color="auto" w:sz="4" w:space="0"/>
              <w:right w:val="single" w:color="auto" w:sz="4" w:space="0"/>
            </w:tcBorders>
            <w:shd w:val="clear" w:color="auto" w:fill="C0C0C0"/>
            <w:textDirection w:val="tbRlV"/>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建 设 项 目</w:t>
            </w: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项目名称</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石材加工项目</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建设地点</w:t>
            </w:r>
          </w:p>
        </w:tc>
        <w:tc>
          <w:tcPr>
            <w:tcW w:w="6753" w:type="dxa"/>
            <w:gridSpan w:val="10"/>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宁国市汪溪街道殷白村汪溪石材加工集中市场</w:t>
            </w:r>
          </w:p>
        </w:tc>
      </w:tr>
      <w:tr>
        <w:tblPrEx>
          <w:tblCellMar>
            <w:top w:w="0" w:type="dxa"/>
            <w:left w:w="108" w:type="dxa"/>
            <w:bottom w:w="0" w:type="dxa"/>
            <w:right w:w="108" w:type="dxa"/>
          </w:tblCellMar>
        </w:tblPrEx>
        <w:trPr>
          <w:trHeight w:val="298"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行业类别</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38" w:leftChars="-58" w:right="-132" w:rightChars="-60" w:hanging="90" w:hangingChars="50"/>
              <w:jc w:val="center"/>
              <w:textAlignment w:val="auto"/>
              <w:rPr>
                <w:rFonts w:hint="default" w:ascii="Times New Roman" w:hAnsi="Times New Roman"/>
                <w:color w:val="auto"/>
                <w:sz w:val="18"/>
                <w:szCs w:val="18"/>
                <w:lang w:val="en-US" w:eastAsia="zh-CN"/>
              </w:rPr>
            </w:pPr>
            <w:r>
              <w:rPr>
                <w:rFonts w:hint="default" w:ascii="Times New Roman" w:hAnsi="Times New Roman" w:eastAsia="宋体" w:cs="Times New Roman"/>
                <w:color w:val="auto"/>
                <w:sz w:val="18"/>
                <w:szCs w:val="18"/>
                <w:lang w:val="en-US" w:eastAsia="zh-CN" w:bidi="ar-SA"/>
              </w:rPr>
              <w:t>C3032建筑用石加工</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建设性质</w:t>
            </w:r>
          </w:p>
        </w:tc>
        <w:tc>
          <w:tcPr>
            <w:tcW w:w="6753" w:type="dxa"/>
            <w:gridSpan w:val="10"/>
            <w:tcBorders>
              <w:top w:val="single" w:color="auto" w:sz="4" w:space="0"/>
              <w:left w:val="nil"/>
              <w:bottom w:val="single" w:color="auto" w:sz="4" w:space="0"/>
              <w:right w:val="single" w:color="auto" w:sz="4" w:space="0"/>
            </w:tcBorders>
            <w:vAlign w:val="center"/>
          </w:tcPr>
          <w:p>
            <w:pPr>
              <w:pStyle w:val="24"/>
              <w:spacing w:line="240" w:lineRule="exact"/>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新建</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设计生产能力</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spacing w:after="0"/>
              <w:ind w:left="-128" w:leftChars="-58" w:right="-132" w:rightChars="-60"/>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bidi="ar-SA"/>
              </w:rPr>
              <w:t>年产毛板5000吨、抛光板2000吨、火烧板1000吨</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实际生产能力</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r>
              <w:rPr>
                <w:rFonts w:hint="eastAsia" w:ascii="Times New Roman" w:hAnsi="Times New Roman" w:eastAsia="宋体" w:cs="Times New Roman"/>
                <w:color w:val="auto"/>
                <w:sz w:val="18"/>
                <w:szCs w:val="18"/>
                <w:lang w:val="en-US" w:eastAsia="zh-CN" w:bidi="ar-SA"/>
              </w:rPr>
              <w:t>年产毛板5000吨、火烧板1000吨</w:t>
            </w:r>
          </w:p>
        </w:tc>
        <w:tc>
          <w:tcPr>
            <w:tcW w:w="1807" w:type="dxa"/>
            <w:gridSpan w:val="2"/>
            <w:tcBorders>
              <w:top w:val="single" w:color="auto" w:sz="4" w:space="0"/>
              <w:left w:val="nil"/>
              <w:bottom w:val="single" w:color="auto"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环评单位</w:t>
            </w:r>
          </w:p>
        </w:tc>
        <w:tc>
          <w:tcPr>
            <w:tcW w:w="2381" w:type="dxa"/>
            <w:gridSpan w:val="3"/>
            <w:tcBorders>
              <w:top w:val="single" w:color="auto" w:sz="4" w:space="0"/>
              <w:left w:val="single" w:color="000000" w:sz="4" w:space="0"/>
              <w:bottom w:val="single" w:color="auto" w:sz="4" w:space="0"/>
              <w:right w:val="single" w:color="auto" w:sz="4" w:space="0"/>
            </w:tcBorders>
            <w:shd w:val="clear" w:color="auto" w:fill="FFFFFF"/>
            <w:vAlign w:val="center"/>
          </w:tcPr>
          <w:p>
            <w:pPr>
              <w:pStyle w:val="24"/>
              <w:spacing w:line="240" w:lineRule="exact"/>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山东省鼎深环保科技有限公司</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环评文件审批机关</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r>
              <w:rPr>
                <w:rFonts w:hint="eastAsia" w:ascii="Times New Roman" w:hAnsi="Times New Roman"/>
                <w:color w:val="auto"/>
                <w:sz w:val="18"/>
                <w:szCs w:val="18"/>
                <w:lang w:val="en-US" w:eastAsia="zh-CN"/>
              </w:rPr>
              <w:t>宣城市</w:t>
            </w:r>
            <w:r>
              <w:rPr>
                <w:rFonts w:ascii="Times New Roman" w:hAnsi="Times New Roman"/>
                <w:color w:val="auto"/>
                <w:sz w:val="18"/>
                <w:szCs w:val="18"/>
              </w:rPr>
              <w:t>宁国市</w:t>
            </w:r>
            <w:r>
              <w:rPr>
                <w:rFonts w:hint="eastAsia" w:ascii="Times New Roman" w:hAnsi="Times New Roman"/>
                <w:color w:val="auto"/>
                <w:sz w:val="18"/>
                <w:szCs w:val="18"/>
                <w:lang w:val="en-US" w:eastAsia="zh-CN"/>
              </w:rPr>
              <w:t>生态</w:t>
            </w:r>
            <w:r>
              <w:rPr>
                <w:rFonts w:ascii="Times New Roman" w:hAnsi="Times New Roman"/>
                <w:color w:val="auto"/>
                <w:sz w:val="18"/>
                <w:szCs w:val="18"/>
              </w:rPr>
              <w:t>环境</w:t>
            </w:r>
            <w:r>
              <w:rPr>
                <w:rFonts w:hint="eastAsia" w:ascii="Times New Roman" w:hAnsi="Times New Roman"/>
                <w:color w:val="auto"/>
                <w:sz w:val="18"/>
                <w:szCs w:val="18"/>
                <w:lang w:val="en-US" w:eastAsia="zh-CN"/>
              </w:rPr>
              <w:t>分</w:t>
            </w:r>
            <w:r>
              <w:rPr>
                <w:rFonts w:ascii="Times New Roman" w:hAnsi="Times New Roman"/>
                <w:color w:val="auto"/>
                <w:sz w:val="18"/>
                <w:szCs w:val="18"/>
              </w:rPr>
              <w:t>局</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审批文号</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宁环审批[2020]106号</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环评文件类型</w:t>
            </w:r>
          </w:p>
        </w:tc>
        <w:tc>
          <w:tcPr>
            <w:tcW w:w="2381"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报告表</w:t>
            </w:r>
          </w:p>
        </w:tc>
      </w:tr>
      <w:tr>
        <w:tblPrEx>
          <w:tblCellMar>
            <w:top w:w="0" w:type="dxa"/>
            <w:left w:w="108" w:type="dxa"/>
            <w:bottom w:w="0" w:type="dxa"/>
            <w:right w:w="108" w:type="dxa"/>
          </w:tblCellMar>
        </w:tblPrEx>
        <w:trPr>
          <w:trHeight w:val="383"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开工日期</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2020.1</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竣工日期</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r>
              <w:rPr>
                <w:rFonts w:hint="eastAsia" w:ascii="Times New Roman" w:hAnsi="Times New Roman" w:eastAsia="宋体" w:cs="Times New Roman"/>
                <w:color w:val="auto"/>
                <w:sz w:val="18"/>
                <w:szCs w:val="18"/>
                <w:lang w:val="en-US" w:eastAsia="zh-CN"/>
              </w:rPr>
              <w:t>2021.1</w:t>
            </w:r>
            <w:r>
              <w:rPr>
                <w:rFonts w:hint="eastAsia" w:ascii="Times New Roman" w:hAnsi="Times New Roman" w:cs="Times New Roman"/>
                <w:color w:val="auto"/>
                <w:sz w:val="18"/>
                <w:szCs w:val="18"/>
                <w:lang w:val="en-US" w:eastAsia="zh-CN"/>
              </w:rPr>
              <w:t>1</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排污许可证申领时间</w:t>
            </w:r>
          </w:p>
        </w:tc>
        <w:tc>
          <w:tcPr>
            <w:tcW w:w="2381"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2020年5月26日</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环保设施设计单位</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宁国市刘宏甫石材加工厂</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环保设施施工单位</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eastAsia" w:ascii="Times New Roman" w:hAnsi="Times New Roman"/>
                <w:color w:val="auto"/>
                <w:sz w:val="18"/>
                <w:szCs w:val="18"/>
                <w:lang w:eastAsia="zh-CN"/>
              </w:rPr>
            </w:pPr>
            <w:r>
              <w:rPr>
                <w:rFonts w:hint="eastAsia" w:ascii="Times New Roman" w:hAnsi="Times New Roman"/>
                <w:color w:val="auto"/>
                <w:sz w:val="18"/>
                <w:szCs w:val="18"/>
                <w:lang w:val="en-US" w:eastAsia="zh-CN"/>
              </w:rPr>
              <w:t>宁国市刘宏甫石材加工厂</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本工程排污许可证编号</w:t>
            </w:r>
          </w:p>
        </w:tc>
        <w:tc>
          <w:tcPr>
            <w:tcW w:w="2381" w:type="dxa"/>
            <w:gridSpan w:val="3"/>
            <w:tcBorders>
              <w:top w:val="single" w:color="auto" w:sz="4" w:space="0"/>
              <w:left w:val="nil"/>
              <w:bottom w:val="single" w:color="auto" w:sz="4" w:space="0"/>
              <w:right w:val="single" w:color="auto" w:sz="4" w:space="0"/>
            </w:tcBorders>
            <w:vAlign w:val="center"/>
          </w:tcPr>
          <w:p>
            <w:pPr>
              <w:jc w:val="left"/>
              <w:rPr>
                <w:rFonts w:hint="eastAsia" w:ascii="Times New Roman" w:hAnsi="Times New Roman"/>
                <w:color w:val="auto"/>
                <w:sz w:val="18"/>
                <w:szCs w:val="18"/>
                <w:lang w:val="en-US" w:eastAsia="zh-CN"/>
              </w:rPr>
            </w:pPr>
            <w:r>
              <w:rPr>
                <w:rFonts w:hint="eastAsia" w:ascii="Times New Roman" w:hAnsi="Times New Roman" w:eastAsia="宋体" w:cs="Times New Roman"/>
                <w:color w:val="auto"/>
                <w:sz w:val="18"/>
                <w:szCs w:val="18"/>
                <w:lang w:val="en-US" w:eastAsia="zh-CN" w:bidi="ar-SA"/>
              </w:rPr>
              <w:t xml:space="preserve">92341881MA2N9LY55J001R </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验收单位</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宁国市浚成环境检测有限公司</w:t>
            </w:r>
          </w:p>
        </w:tc>
        <w:tc>
          <w:tcPr>
            <w:tcW w:w="195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环保设施监测单位</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宁国市浚成环境检测有限公司　</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验收监测时工况</w:t>
            </w:r>
          </w:p>
        </w:tc>
        <w:tc>
          <w:tcPr>
            <w:tcW w:w="2381"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正常　</w:t>
            </w:r>
          </w:p>
        </w:tc>
      </w:tr>
      <w:tr>
        <w:tblPrEx>
          <w:tblCellMar>
            <w:top w:w="0" w:type="dxa"/>
            <w:left w:w="108" w:type="dxa"/>
            <w:bottom w:w="0" w:type="dxa"/>
            <w:right w:w="108" w:type="dxa"/>
          </w:tblCellMar>
        </w:tblPrEx>
        <w:trPr>
          <w:trHeight w:val="283" w:hRule="exac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投资总概算（万元）</w:t>
            </w:r>
          </w:p>
        </w:tc>
        <w:tc>
          <w:tcPr>
            <w:tcW w:w="3626" w:type="dxa"/>
            <w:gridSpan w:val="5"/>
            <w:tcBorders>
              <w:top w:val="single" w:color="auto" w:sz="4" w:space="0"/>
              <w:left w:val="nil"/>
              <w:bottom w:val="single" w:color="auto" w:sz="4" w:space="0"/>
              <w:right w:val="single" w:color="000000" w:sz="4" w:space="0"/>
            </w:tcBorders>
            <w:shd w:val="clear" w:color="auto" w:fill="auto"/>
            <w:vAlign w:val="center"/>
          </w:tcPr>
          <w:p>
            <w:pPr>
              <w:pStyle w:val="24"/>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w:t>
            </w:r>
          </w:p>
        </w:tc>
        <w:tc>
          <w:tcPr>
            <w:tcW w:w="1950" w:type="dxa"/>
            <w:gridSpan w:val="4"/>
            <w:tcBorders>
              <w:top w:val="single" w:color="auto" w:sz="4" w:space="0"/>
              <w:left w:val="single" w:color="000000" w:sz="4" w:space="0"/>
              <w:bottom w:val="single" w:color="auto" w:sz="4" w:space="0"/>
              <w:right w:val="single" w:color="000000" w:sz="4" w:space="0"/>
            </w:tcBorders>
            <w:shd w:val="clear" w:color="auto" w:fill="C0C0C0"/>
            <w:vAlign w:val="center"/>
          </w:tcPr>
          <w:p>
            <w:pPr>
              <w:pStyle w:val="24"/>
              <w:spacing w:line="24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环保投资总概算（万</w:t>
            </w:r>
            <w:r>
              <w:rPr>
                <w:rFonts w:hint="eastAsia" w:ascii="Times New Roman" w:hAnsi="Times New Roman" w:eastAsia="宋体" w:cs="Times New Roman"/>
                <w:color w:val="auto"/>
                <w:sz w:val="18"/>
                <w:szCs w:val="18"/>
                <w:lang w:eastAsia="zh-CN"/>
              </w:rPr>
              <w:t>）</w:t>
            </w:r>
            <w:r>
              <w:rPr>
                <w:rFonts w:ascii="Times New Roman" w:hAnsi="Times New Roman" w:eastAsia="宋体" w:cs="Times New Roman"/>
                <w:color w:val="auto"/>
                <w:sz w:val="18"/>
                <w:szCs w:val="18"/>
              </w:rPr>
              <w:t>元）</w:t>
            </w:r>
          </w:p>
        </w:tc>
        <w:tc>
          <w:tcPr>
            <w:tcW w:w="2565" w:type="dxa"/>
            <w:gridSpan w:val="5"/>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76</w:t>
            </w:r>
          </w:p>
        </w:tc>
        <w:tc>
          <w:tcPr>
            <w:tcW w:w="1807" w:type="dxa"/>
            <w:gridSpan w:val="2"/>
            <w:tcBorders>
              <w:top w:val="single" w:color="auto" w:sz="4" w:space="0"/>
              <w:left w:val="nil"/>
              <w:bottom w:val="single" w:color="auto" w:sz="4" w:space="0"/>
              <w:right w:val="single" w:color="000000" w:sz="4" w:space="0"/>
            </w:tcBorders>
            <w:vAlign w:val="center"/>
          </w:tcPr>
          <w:p>
            <w:pPr>
              <w:pStyle w:val="24"/>
              <w:spacing w:line="24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　</w:t>
            </w:r>
          </w:p>
        </w:tc>
        <w:tc>
          <w:tcPr>
            <w:tcW w:w="2381" w:type="dxa"/>
            <w:gridSpan w:val="3"/>
            <w:tcBorders>
              <w:top w:val="single" w:color="auto" w:sz="4" w:space="0"/>
              <w:left w:val="single" w:color="000000" w:sz="4" w:space="0"/>
              <w:bottom w:val="single" w:color="auto" w:sz="4" w:space="0"/>
              <w:right w:val="single" w:color="auto" w:sz="4" w:space="0"/>
            </w:tcBorders>
            <w:vAlign w:val="center"/>
          </w:tcPr>
          <w:p>
            <w:pPr>
              <w:pStyle w:val="24"/>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42.22</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实际总投资（万元）</w:t>
            </w:r>
          </w:p>
        </w:tc>
        <w:tc>
          <w:tcPr>
            <w:tcW w:w="3626" w:type="dxa"/>
            <w:gridSpan w:val="5"/>
            <w:tcBorders>
              <w:top w:val="single" w:color="auto" w:sz="4" w:space="0"/>
              <w:left w:val="nil"/>
              <w:bottom w:val="single" w:color="auto" w:sz="4" w:space="0"/>
              <w:right w:val="single" w:color="000000" w:sz="4" w:space="0"/>
            </w:tcBorders>
            <w:shd w:val="clear" w:color="auto" w:fill="auto"/>
            <w:vAlign w:val="center"/>
          </w:tcPr>
          <w:p>
            <w:pPr>
              <w:pStyle w:val="24"/>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100</w:t>
            </w:r>
          </w:p>
        </w:tc>
        <w:tc>
          <w:tcPr>
            <w:tcW w:w="1950" w:type="dxa"/>
            <w:gridSpan w:val="4"/>
            <w:tcBorders>
              <w:top w:val="single" w:color="auto" w:sz="4" w:space="0"/>
              <w:left w:val="single" w:color="000000" w:sz="4" w:space="0"/>
              <w:bottom w:val="single" w:color="auto" w:sz="4" w:space="0"/>
              <w:right w:val="single" w:color="auto" w:sz="4" w:space="0"/>
            </w:tcBorders>
            <w:shd w:val="clear" w:color="auto" w:fill="C0C0C0"/>
            <w:vAlign w:val="center"/>
          </w:tcPr>
          <w:p>
            <w:pPr>
              <w:pStyle w:val="24"/>
              <w:spacing w:line="24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实际环保投资（万元）</w:t>
            </w:r>
          </w:p>
        </w:tc>
        <w:tc>
          <w:tcPr>
            <w:tcW w:w="2565"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807" w:type="dxa"/>
            <w:gridSpan w:val="2"/>
            <w:tcBorders>
              <w:top w:val="single" w:color="auto" w:sz="4" w:space="0"/>
              <w:left w:val="nil"/>
              <w:bottom w:val="single" w:color="auto" w:sz="4" w:space="0"/>
              <w:right w:val="single" w:color="000000" w:sz="4" w:space="0"/>
            </w:tcBorders>
            <w:shd w:val="clear" w:color="auto" w:fill="C0C0C0"/>
            <w:vAlign w:val="center"/>
          </w:tcPr>
          <w:p>
            <w:pPr>
              <w:pStyle w:val="24"/>
              <w:spacing w:line="240" w:lineRule="exact"/>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　</w:t>
            </w:r>
          </w:p>
        </w:tc>
        <w:tc>
          <w:tcPr>
            <w:tcW w:w="2381" w:type="dxa"/>
            <w:gridSpan w:val="3"/>
            <w:tcBorders>
              <w:top w:val="single" w:color="auto" w:sz="4" w:space="0"/>
              <w:left w:val="single" w:color="000000" w:sz="4" w:space="0"/>
              <w:bottom w:val="single" w:color="auto" w:sz="4" w:space="0"/>
              <w:right w:val="single" w:color="auto" w:sz="4" w:space="0"/>
            </w:tcBorders>
            <w:vAlign w:val="center"/>
          </w:tcPr>
          <w:p>
            <w:pPr>
              <w:pStyle w:val="24"/>
              <w:spacing w:line="240" w:lineRule="exact"/>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废水治理（万元）</w:t>
            </w:r>
          </w:p>
        </w:tc>
        <w:tc>
          <w:tcPr>
            <w:tcW w:w="468" w:type="dxa"/>
            <w:tcBorders>
              <w:top w:val="nil"/>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p>
        </w:tc>
        <w:tc>
          <w:tcPr>
            <w:tcW w:w="1480"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废气治理（万元）</w:t>
            </w:r>
          </w:p>
        </w:tc>
        <w:tc>
          <w:tcPr>
            <w:tcW w:w="725" w:type="dxa"/>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p>
        </w:tc>
        <w:tc>
          <w:tcPr>
            <w:tcW w:w="1485"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噪声治理（万元）</w:t>
            </w:r>
          </w:p>
        </w:tc>
        <w:tc>
          <w:tcPr>
            <w:tcW w:w="450" w:type="dxa"/>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p>
        </w:tc>
        <w:tc>
          <w:tcPr>
            <w:tcW w:w="1500" w:type="dxa"/>
            <w:gridSpan w:val="4"/>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固废治理（万元）</w:t>
            </w:r>
          </w:p>
        </w:tc>
        <w:tc>
          <w:tcPr>
            <w:tcW w:w="435" w:type="dxa"/>
            <w:tcBorders>
              <w:top w:val="nil"/>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p>
        </w:tc>
        <w:tc>
          <w:tcPr>
            <w:tcW w:w="1598" w:type="dxa"/>
            <w:gridSpan w:val="2"/>
            <w:tcBorders>
              <w:top w:val="nil"/>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绿化及生态（万元）</w:t>
            </w:r>
          </w:p>
        </w:tc>
        <w:tc>
          <w:tcPr>
            <w:tcW w:w="1483" w:type="dxa"/>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hint="default" w:ascii="Times New Roman" w:hAnsi="Times New Roman" w:eastAsia="宋体"/>
                <w:color w:val="auto"/>
                <w:sz w:val="18"/>
                <w:szCs w:val="18"/>
                <w:lang w:val="en-US" w:eastAsia="zh-CN"/>
              </w:rPr>
            </w:pPr>
          </w:p>
        </w:tc>
        <w:tc>
          <w:tcPr>
            <w:tcW w:w="1152"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其它（万元）</w:t>
            </w:r>
          </w:p>
        </w:tc>
        <w:tc>
          <w:tcPr>
            <w:tcW w:w="155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r>
      <w:tr>
        <w:tblPrEx>
          <w:tblCellMar>
            <w:top w:w="0" w:type="dxa"/>
            <w:left w:w="108" w:type="dxa"/>
            <w:bottom w:w="0" w:type="dxa"/>
            <w:right w:w="108" w:type="dxa"/>
          </w:tblCellMar>
        </w:tblPrEx>
        <w:trPr>
          <w:trHeight w:val="283" w:hRule="exac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2266" w:type="dxa"/>
            <w:gridSpan w:val="3"/>
            <w:tcBorders>
              <w:top w:val="single" w:color="auto" w:sz="4" w:space="0"/>
              <w:left w:val="nil"/>
              <w:bottom w:val="single" w:color="auto" w:sz="4" w:space="0"/>
              <w:right w:val="single" w:color="000000" w:sz="4" w:space="0"/>
            </w:tcBorders>
            <w:shd w:val="clear" w:color="auto" w:fill="C0C0C0"/>
            <w:vAlign w:val="center"/>
          </w:tcPr>
          <w:p>
            <w:pPr>
              <w:pStyle w:val="24"/>
              <w:tabs>
                <w:tab w:val="left" w:pos="357"/>
                <w:tab w:val="center" w:pos="2054"/>
              </w:tabs>
              <w:spacing w:line="240" w:lineRule="exact"/>
              <w:rPr>
                <w:rFonts w:ascii="Times New Roman" w:hAnsi="Times New Roman"/>
                <w:color w:val="auto"/>
                <w:sz w:val="18"/>
                <w:szCs w:val="18"/>
              </w:rPr>
            </w:pPr>
            <w:r>
              <w:rPr>
                <w:rFonts w:ascii="Times New Roman" w:hAnsi="Times New Roman"/>
                <w:color w:val="auto"/>
                <w:sz w:val="18"/>
                <w:szCs w:val="18"/>
              </w:rPr>
              <w:t>新增废水处理设施能力</w:t>
            </w:r>
          </w:p>
        </w:tc>
        <w:tc>
          <w:tcPr>
            <w:tcW w:w="3158" w:type="dxa"/>
            <w:gridSpan w:val="4"/>
            <w:tcBorders>
              <w:top w:val="single" w:color="auto" w:sz="4" w:space="0"/>
              <w:left w:val="single" w:color="000000" w:sz="4" w:space="0"/>
              <w:bottom w:val="single" w:color="auto" w:sz="4" w:space="0"/>
              <w:right w:val="single" w:color="auto" w:sz="4" w:space="0"/>
            </w:tcBorders>
            <w:shd w:val="clear" w:color="auto" w:fill="auto"/>
            <w:vAlign w:val="center"/>
          </w:tcPr>
          <w:p>
            <w:pPr>
              <w:pStyle w:val="24"/>
              <w:tabs>
                <w:tab w:val="left" w:pos="357"/>
                <w:tab w:val="center" w:pos="2054"/>
              </w:tabs>
              <w:spacing w:line="240" w:lineRule="exact"/>
              <w:rPr>
                <w:rFonts w:ascii="Times New Roman" w:hAnsi="Times New Roman"/>
                <w:color w:val="auto"/>
                <w:sz w:val="18"/>
                <w:szCs w:val="18"/>
              </w:rPr>
            </w:pPr>
            <w:r>
              <w:rPr>
                <w:rFonts w:ascii="Times New Roman" w:hAnsi="Times New Roman"/>
                <w:color w:val="auto"/>
                <w:sz w:val="18"/>
                <w:szCs w:val="18"/>
              </w:rPr>
              <w:t>/</w:t>
            </w:r>
          </w:p>
        </w:tc>
        <w:tc>
          <w:tcPr>
            <w:tcW w:w="2917" w:type="dxa"/>
            <w:gridSpan w:val="7"/>
            <w:tcBorders>
              <w:top w:val="single" w:color="auto" w:sz="4" w:space="0"/>
              <w:left w:val="nil"/>
              <w:bottom w:val="single" w:color="auto"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新增废气处理设施能力</w:t>
            </w:r>
          </w:p>
          <w:p>
            <w:pPr>
              <w:pStyle w:val="24"/>
              <w:spacing w:line="240" w:lineRule="exact"/>
              <w:rPr>
                <w:rFonts w:ascii="Times New Roman" w:hAnsi="Times New Roman"/>
                <w:color w:val="auto"/>
                <w:sz w:val="18"/>
                <w:szCs w:val="18"/>
              </w:rPr>
            </w:pPr>
            <w:r>
              <w:rPr>
                <w:rFonts w:ascii="Times New Roman" w:hAnsi="Times New Roman"/>
                <w:color w:val="auto"/>
                <w:sz w:val="18"/>
                <w:szCs w:val="18"/>
              </w:rPr>
              <w:t xml:space="preserve">           </w:t>
            </w:r>
          </w:p>
        </w:tc>
        <w:tc>
          <w:tcPr>
            <w:tcW w:w="159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pStyle w:val="24"/>
              <w:spacing w:line="240" w:lineRule="exact"/>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w:t>
            </w: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年平均工作时（h/a）</w:t>
            </w:r>
          </w:p>
        </w:tc>
        <w:tc>
          <w:tcPr>
            <w:tcW w:w="2381" w:type="dxa"/>
            <w:gridSpan w:val="3"/>
            <w:tcBorders>
              <w:top w:val="single" w:color="auto" w:sz="4" w:space="0"/>
              <w:left w:val="nil"/>
              <w:bottom w:val="single" w:color="auto" w:sz="4" w:space="0"/>
              <w:right w:val="single" w:color="auto" w:sz="4" w:space="0"/>
            </w:tcBorders>
            <w:vAlign w:val="center"/>
          </w:tcPr>
          <w:p>
            <w:pPr>
              <w:pStyle w:val="24"/>
              <w:spacing w:line="240" w:lineRule="exact"/>
              <w:jc w:val="center"/>
              <w:rPr>
                <w:rFonts w:hint="eastAsia"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w:t>
            </w:r>
          </w:p>
        </w:tc>
      </w:tr>
      <w:tr>
        <w:tblPrEx>
          <w:tblCellMar>
            <w:top w:w="0" w:type="dxa"/>
            <w:left w:w="108" w:type="dxa"/>
            <w:bottom w:w="0" w:type="dxa"/>
            <w:right w:w="108" w:type="dxa"/>
          </w:tblCellMar>
        </w:tblPrEx>
        <w:trPr>
          <w:trHeight w:val="283" w:hRule="exact"/>
          <w:jc w:val="center"/>
        </w:trPr>
        <w:tc>
          <w:tcPr>
            <w:tcW w:w="2693" w:type="dxa"/>
            <w:gridSpan w:val="3"/>
            <w:tcBorders>
              <w:top w:val="single" w:color="auto" w:sz="4" w:space="0"/>
              <w:left w:val="single" w:color="auto" w:sz="4" w:space="0"/>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运营单位</w:t>
            </w:r>
          </w:p>
        </w:tc>
        <w:tc>
          <w:tcPr>
            <w:tcW w:w="3626" w:type="dxa"/>
            <w:gridSpan w:val="5"/>
            <w:tcBorders>
              <w:top w:val="single" w:color="auto" w:sz="4" w:space="0"/>
              <w:left w:val="nil"/>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2917" w:type="dxa"/>
            <w:gridSpan w:val="7"/>
            <w:tcBorders>
              <w:top w:val="single" w:color="auto" w:sz="4" w:space="0"/>
              <w:left w:val="nil"/>
              <w:bottom w:val="single" w:color="auto"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运营单位社会统一信用代码　</w:t>
            </w:r>
          </w:p>
        </w:tc>
        <w:tc>
          <w:tcPr>
            <w:tcW w:w="1598" w:type="dxa"/>
            <w:gridSpan w:val="2"/>
            <w:tcBorders>
              <w:top w:val="single" w:color="auto" w:sz="4" w:space="0"/>
              <w:left w:val="single" w:color="000000" w:sz="4" w:space="0"/>
              <w:bottom w:val="single" w:color="auto" w:sz="4" w:space="0"/>
              <w:right w:val="single" w:color="auto" w:sz="4" w:space="0"/>
            </w:tcBorders>
            <w:shd w:val="clear" w:color="auto" w:fill="auto"/>
            <w:vAlign w:val="center"/>
          </w:tcPr>
          <w:p>
            <w:pPr>
              <w:pStyle w:val="24"/>
              <w:spacing w:line="240" w:lineRule="exact"/>
              <w:rPr>
                <w:rFonts w:ascii="Times New Roman" w:hAnsi="Times New Roman"/>
                <w:color w:val="auto"/>
                <w:sz w:val="18"/>
                <w:szCs w:val="18"/>
              </w:rPr>
            </w:pPr>
          </w:p>
        </w:tc>
        <w:tc>
          <w:tcPr>
            <w:tcW w:w="1807"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验收时间</w:t>
            </w:r>
          </w:p>
        </w:tc>
        <w:tc>
          <w:tcPr>
            <w:tcW w:w="2381"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r>
      <w:tr>
        <w:tblPrEx>
          <w:tblCellMar>
            <w:top w:w="0" w:type="dxa"/>
            <w:left w:w="108" w:type="dxa"/>
            <w:bottom w:w="0" w:type="dxa"/>
            <w:right w:w="108" w:type="dxa"/>
          </w:tblCellMar>
        </w:tblPrEx>
        <w:trPr>
          <w:trHeight w:val="312" w:hRule="atLeast"/>
          <w:jc w:val="center"/>
        </w:trPr>
        <w:tc>
          <w:tcPr>
            <w:tcW w:w="895" w:type="dxa"/>
            <w:vMerge w:val="restart"/>
            <w:tcBorders>
              <w:top w:val="nil"/>
              <w:left w:val="single" w:color="auto" w:sz="4" w:space="0"/>
              <w:bottom w:val="single" w:color="auto" w:sz="4" w:space="0"/>
              <w:right w:val="single" w:color="auto" w:sz="4" w:space="0"/>
            </w:tcBorders>
            <w:shd w:val="clear" w:color="auto" w:fill="C0C0C0"/>
            <w:vAlign w:val="center"/>
          </w:tcPr>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污染</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物排</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放达</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标与</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总量</w:t>
            </w:r>
          </w:p>
          <w:p>
            <w:pPr>
              <w:pStyle w:val="24"/>
              <w:spacing w:line="240" w:lineRule="exact"/>
              <w:rPr>
                <w:rFonts w:ascii="Times New Roman" w:hAnsi="Times New Roman"/>
                <w:color w:val="auto"/>
                <w:sz w:val="18"/>
                <w:szCs w:val="18"/>
              </w:rPr>
            </w:pPr>
            <w:r>
              <w:rPr>
                <w:rFonts w:ascii="Times New Roman" w:hAnsi="Times New Roman"/>
                <w:color w:val="auto"/>
                <w:sz w:val="18"/>
                <w:szCs w:val="18"/>
              </w:rPr>
              <w:t>控制</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（工</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业建</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设项</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目详</w:t>
            </w:r>
          </w:p>
          <w:p>
            <w:pPr>
              <w:pStyle w:val="24"/>
              <w:spacing w:line="240" w:lineRule="exact"/>
              <w:rPr>
                <w:rFonts w:ascii="Times New Roman" w:hAnsi="Times New Roman"/>
                <w:color w:val="auto"/>
                <w:sz w:val="18"/>
                <w:szCs w:val="18"/>
              </w:rPr>
            </w:pPr>
            <w:r>
              <w:rPr>
                <w:rFonts w:ascii="Times New Roman" w:hAnsi="Times New Roman"/>
                <w:color w:val="auto"/>
                <w:sz w:val="18"/>
                <w:szCs w:val="18"/>
              </w:rPr>
              <w:t>填）</w:t>
            </w:r>
          </w:p>
        </w:tc>
        <w:tc>
          <w:tcPr>
            <w:tcW w:w="1798" w:type="dxa"/>
            <w:gridSpan w:val="2"/>
            <w:vMerge w:val="restart"/>
            <w:tcBorders>
              <w:top w:val="single" w:color="auto" w:sz="4" w:space="0"/>
              <w:left w:val="single" w:color="auto" w:sz="4" w:space="0"/>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污染物</w:t>
            </w:r>
          </w:p>
        </w:tc>
        <w:tc>
          <w:tcPr>
            <w:tcW w:w="933" w:type="dxa"/>
            <w:gridSpan w:val="2"/>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原有排放量</w:t>
            </w:r>
          </w:p>
          <w:p>
            <w:pPr>
              <w:pStyle w:val="24"/>
              <w:spacing w:line="240" w:lineRule="exact"/>
              <w:rPr>
                <w:rFonts w:ascii="Times New Roman" w:hAnsi="Times New Roman"/>
                <w:color w:val="auto"/>
                <w:sz w:val="18"/>
                <w:szCs w:val="18"/>
              </w:rPr>
            </w:pPr>
            <w:r>
              <w:rPr>
                <w:rFonts w:ascii="Times New Roman" w:hAnsi="Times New Roman"/>
                <w:color w:val="auto"/>
                <w:sz w:val="18"/>
                <w:szCs w:val="18"/>
              </w:rPr>
              <w:t>（1）</w:t>
            </w:r>
          </w:p>
        </w:tc>
        <w:tc>
          <w:tcPr>
            <w:tcW w:w="1015"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本期工程实际排放浓度（2）</w:t>
            </w:r>
          </w:p>
        </w:tc>
        <w:tc>
          <w:tcPr>
            <w:tcW w:w="725"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本期工程允许</w:t>
            </w:r>
          </w:p>
          <w:p>
            <w:pPr>
              <w:pStyle w:val="24"/>
              <w:spacing w:line="240" w:lineRule="exact"/>
              <w:rPr>
                <w:rFonts w:ascii="Times New Roman" w:hAnsi="Times New Roman"/>
                <w:color w:val="auto"/>
                <w:sz w:val="18"/>
                <w:szCs w:val="18"/>
              </w:rPr>
            </w:pPr>
            <w:r>
              <w:rPr>
                <w:rFonts w:ascii="Times New Roman" w:hAnsi="Times New Roman"/>
                <w:color w:val="auto"/>
                <w:sz w:val="18"/>
                <w:szCs w:val="18"/>
              </w:rPr>
              <w:t>排放浓度（3）</w:t>
            </w:r>
          </w:p>
        </w:tc>
        <w:tc>
          <w:tcPr>
            <w:tcW w:w="953"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本期工程产生量（4）</w:t>
            </w:r>
          </w:p>
        </w:tc>
        <w:tc>
          <w:tcPr>
            <w:tcW w:w="1044" w:type="dxa"/>
            <w:gridSpan w:val="3"/>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本期工程自身削减量（5）</w:t>
            </w:r>
          </w:p>
        </w:tc>
        <w:tc>
          <w:tcPr>
            <w:tcW w:w="1376" w:type="dxa"/>
            <w:gridSpan w:val="2"/>
            <w:vMerge w:val="restart"/>
            <w:tcBorders>
              <w:top w:val="nil"/>
              <w:left w:val="single" w:color="auto" w:sz="4" w:space="0"/>
              <w:bottom w:val="single" w:color="000000"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本期工程实际排放量（6）</w:t>
            </w:r>
          </w:p>
        </w:tc>
        <w:tc>
          <w:tcPr>
            <w:tcW w:w="806" w:type="dxa"/>
            <w:gridSpan w:val="3"/>
            <w:vMerge w:val="restart"/>
            <w:tcBorders>
              <w:top w:val="nil"/>
              <w:left w:val="single" w:color="auto" w:sz="4" w:space="0"/>
              <w:bottom w:val="single" w:color="000000"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本期工程核定排放总量（7）</w:t>
            </w:r>
          </w:p>
        </w:tc>
        <w:tc>
          <w:tcPr>
            <w:tcW w:w="1289" w:type="dxa"/>
            <w:vMerge w:val="restart"/>
            <w:tcBorders>
              <w:top w:val="nil"/>
              <w:left w:val="single" w:color="auto" w:sz="4" w:space="0"/>
              <w:bottom w:val="single" w:color="000000" w:sz="4" w:space="0"/>
              <w:right w:val="single" w:color="auto" w:sz="4" w:space="0"/>
            </w:tcBorders>
            <w:shd w:val="clear" w:color="auto" w:fill="C0C0C0"/>
            <w:vAlign w:val="center"/>
          </w:tcPr>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本期工程</w:t>
            </w:r>
          </w:p>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“以新带老”</w:t>
            </w:r>
          </w:p>
          <w:p>
            <w:pPr>
              <w:pStyle w:val="24"/>
              <w:spacing w:line="240" w:lineRule="exact"/>
              <w:rPr>
                <w:rFonts w:ascii="Times New Roman" w:hAnsi="Times New Roman"/>
                <w:color w:val="auto"/>
                <w:sz w:val="18"/>
                <w:szCs w:val="18"/>
              </w:rPr>
            </w:pPr>
            <w:r>
              <w:rPr>
                <w:rFonts w:ascii="Times New Roman" w:hAnsi="Times New Roman"/>
                <w:color w:val="auto"/>
                <w:sz w:val="18"/>
                <w:szCs w:val="18"/>
              </w:rPr>
              <w:t>削减量（8）</w:t>
            </w:r>
          </w:p>
        </w:tc>
        <w:tc>
          <w:tcPr>
            <w:tcW w:w="1807" w:type="dxa"/>
            <w:gridSpan w:val="2"/>
            <w:vMerge w:val="restart"/>
            <w:tcBorders>
              <w:top w:val="nil"/>
              <w:left w:val="single" w:color="auto" w:sz="4" w:space="0"/>
              <w:bottom w:val="single" w:color="000000"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全厂实际排放总量（9）</w:t>
            </w:r>
          </w:p>
        </w:tc>
        <w:tc>
          <w:tcPr>
            <w:tcW w:w="828"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全厂核定排放总量（10）</w:t>
            </w:r>
          </w:p>
        </w:tc>
        <w:tc>
          <w:tcPr>
            <w:tcW w:w="797" w:type="dxa"/>
            <w:vMerge w:val="restart"/>
            <w:tcBorders>
              <w:top w:val="single" w:color="auto" w:sz="4" w:space="0"/>
              <w:left w:val="single" w:color="auto" w:sz="4" w:space="0"/>
              <w:bottom w:val="single" w:color="000000" w:sz="4" w:space="0"/>
              <w:right w:val="single" w:color="000000"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区域平衡替代削减量（11）</w:t>
            </w:r>
          </w:p>
        </w:tc>
        <w:tc>
          <w:tcPr>
            <w:tcW w:w="756" w:type="dxa"/>
            <w:vMerge w:val="restart"/>
            <w:tcBorders>
              <w:top w:val="nil"/>
              <w:left w:val="single" w:color="auto" w:sz="4" w:space="0"/>
              <w:bottom w:val="single" w:color="000000" w:sz="4" w:space="0"/>
              <w:right w:val="single" w:color="auto" w:sz="4" w:space="0"/>
            </w:tcBorders>
            <w:shd w:val="clear" w:color="auto" w:fill="C0C0C0"/>
            <w:vAlign w:val="center"/>
          </w:tcPr>
          <w:p>
            <w:pPr>
              <w:pStyle w:val="24"/>
              <w:spacing w:line="240" w:lineRule="exact"/>
              <w:rPr>
                <w:rFonts w:hint="eastAsia" w:ascii="Times New Roman" w:hAnsi="Times New Roman" w:eastAsia="宋体"/>
                <w:color w:val="auto"/>
                <w:sz w:val="18"/>
                <w:szCs w:val="18"/>
                <w:lang w:eastAsia="zh-CN"/>
              </w:rPr>
            </w:pPr>
            <w:r>
              <w:rPr>
                <w:rFonts w:ascii="Times New Roman" w:hAnsi="Times New Roman"/>
                <w:color w:val="auto"/>
                <w:sz w:val="18"/>
                <w:szCs w:val="18"/>
              </w:rPr>
              <w:t>排放增</w:t>
            </w:r>
          </w:p>
          <w:p>
            <w:pPr>
              <w:pStyle w:val="24"/>
              <w:spacing w:line="240" w:lineRule="exact"/>
              <w:rPr>
                <w:rFonts w:ascii="Times New Roman" w:hAnsi="Times New Roman"/>
                <w:color w:val="auto"/>
                <w:sz w:val="18"/>
                <w:szCs w:val="18"/>
              </w:rPr>
            </w:pPr>
            <w:r>
              <w:rPr>
                <w:rFonts w:ascii="Times New Roman" w:hAnsi="Times New Roman"/>
                <w:color w:val="auto"/>
                <w:sz w:val="18"/>
                <w:szCs w:val="18"/>
              </w:rPr>
              <w:t>减量</w:t>
            </w:r>
          </w:p>
          <w:p>
            <w:pPr>
              <w:pStyle w:val="24"/>
              <w:spacing w:line="240" w:lineRule="exact"/>
              <w:rPr>
                <w:rFonts w:ascii="Times New Roman" w:hAnsi="Times New Roman"/>
                <w:color w:val="auto"/>
                <w:sz w:val="18"/>
                <w:szCs w:val="18"/>
              </w:rPr>
            </w:pPr>
            <w:r>
              <w:rPr>
                <w:rFonts w:ascii="Times New Roman" w:hAnsi="Times New Roman"/>
                <w:color w:val="auto"/>
                <w:sz w:val="18"/>
                <w:szCs w:val="18"/>
              </w:rPr>
              <w:t>（12）</w:t>
            </w:r>
          </w:p>
        </w:tc>
      </w:tr>
      <w:tr>
        <w:tblPrEx>
          <w:tblCellMar>
            <w:top w:w="0" w:type="dxa"/>
            <w:left w:w="108" w:type="dxa"/>
            <w:bottom w:w="0" w:type="dxa"/>
            <w:right w:w="108" w:type="dxa"/>
          </w:tblCellMar>
        </w:tblPrEx>
        <w:trPr>
          <w:trHeight w:val="312" w:hRule="atLeast"/>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179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933" w:type="dxa"/>
            <w:gridSpan w:val="2"/>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1015"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725"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953"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1044" w:type="dxa"/>
            <w:gridSpan w:val="3"/>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1376" w:type="dxa"/>
            <w:gridSpan w:val="2"/>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806" w:type="dxa"/>
            <w:gridSpan w:val="3"/>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1289" w:type="dxa"/>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1807" w:type="dxa"/>
            <w:gridSpan w:val="2"/>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828"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797"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756" w:type="dxa"/>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r>
      <w:tr>
        <w:tblPrEx>
          <w:tblCellMar>
            <w:top w:w="0" w:type="dxa"/>
            <w:left w:w="108" w:type="dxa"/>
            <w:bottom w:w="0" w:type="dxa"/>
            <w:right w:w="108" w:type="dxa"/>
          </w:tblCellMar>
        </w:tblPrEx>
        <w:trPr>
          <w:trHeight w:val="312" w:hRule="atLeast"/>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1798"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933" w:type="dxa"/>
            <w:gridSpan w:val="2"/>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1015"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725"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953"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1044" w:type="dxa"/>
            <w:gridSpan w:val="3"/>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1376" w:type="dxa"/>
            <w:gridSpan w:val="2"/>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806" w:type="dxa"/>
            <w:gridSpan w:val="3"/>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1289" w:type="dxa"/>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1807" w:type="dxa"/>
            <w:gridSpan w:val="2"/>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c>
          <w:tcPr>
            <w:tcW w:w="828"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797" w:type="dxa"/>
            <w:vMerge w:val="continue"/>
            <w:tcBorders>
              <w:top w:val="single" w:color="auto" w:sz="4" w:space="0"/>
              <w:left w:val="single" w:color="auto" w:sz="4" w:space="0"/>
              <w:bottom w:val="single" w:color="000000" w:sz="4" w:space="0"/>
              <w:right w:val="single" w:color="000000" w:sz="4" w:space="0"/>
            </w:tcBorders>
            <w:vAlign w:val="center"/>
          </w:tcPr>
          <w:p>
            <w:pPr>
              <w:pStyle w:val="24"/>
              <w:rPr>
                <w:rFonts w:ascii="Times New Roman" w:hAnsi="Times New Roman"/>
                <w:color w:val="auto"/>
                <w:sz w:val="18"/>
                <w:szCs w:val="18"/>
              </w:rPr>
            </w:pPr>
          </w:p>
        </w:tc>
        <w:tc>
          <w:tcPr>
            <w:tcW w:w="756" w:type="dxa"/>
            <w:vMerge w:val="continue"/>
            <w:tcBorders>
              <w:top w:val="nil"/>
              <w:left w:val="single" w:color="auto" w:sz="4" w:space="0"/>
              <w:bottom w:val="single" w:color="000000" w:sz="4" w:space="0"/>
              <w:right w:val="single" w:color="auto" w:sz="4" w:space="0"/>
            </w:tcBorders>
            <w:vAlign w:val="center"/>
          </w:tcPr>
          <w:p>
            <w:pPr>
              <w:pStyle w:val="24"/>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废水</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xml:space="preserve">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xml:space="preserve">化学需氧量 </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氨氮</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石油类</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废气</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trHeight w:val="228"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二氧化硫</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xml:space="preserve"> 烟尘</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0.021t/a</w:t>
            </w: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hint="eastAsia" w:ascii="Times New Roman" w:hAnsi="Times New Roman"/>
                <w:color w:val="auto"/>
                <w:sz w:val="18"/>
                <w:szCs w:val="18"/>
                <w:lang w:val="en-US" w:eastAsia="zh-CN"/>
              </w:rPr>
              <w:t>VOC</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s="Times New Roman"/>
                <w:color w:val="auto"/>
                <w:sz w:val="18"/>
                <w:szCs w:val="18"/>
                <w:lang w:val="en-US" w:eastAsia="zh-CN" w:bidi="ar-SA"/>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s="Times New Roman"/>
                <w:color w:val="auto"/>
                <w:sz w:val="18"/>
                <w:szCs w:val="18"/>
                <w:lang w:val="en-US" w:eastAsia="zh-CN" w:bidi="ar-SA"/>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trHeight w:val="220" w:hRule="atLeast"/>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工业粉尘</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氮氧化物</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0.0039t/a</w:t>
            </w: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1798" w:type="dxa"/>
            <w:gridSpan w:val="2"/>
            <w:tcBorders>
              <w:top w:val="single" w:color="auto" w:sz="4" w:space="0"/>
              <w:left w:val="nil"/>
              <w:bottom w:val="single" w:color="auto" w:sz="4" w:space="0"/>
              <w:right w:val="single" w:color="auto" w:sz="4" w:space="0"/>
            </w:tcBorders>
            <w:shd w:val="clear" w:color="auto" w:fill="C0C0C0"/>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工业固体废物</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single" w:color="auto" w:sz="4" w:space="0"/>
              <w:left w:val="single" w:color="auto" w:sz="4" w:space="0"/>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single" w:color="auto" w:sz="4" w:space="0"/>
              <w:left w:val="single" w:color="auto" w:sz="4" w:space="0"/>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single" w:color="auto" w:sz="4" w:space="0"/>
              <w:left w:val="single" w:color="auto" w:sz="4" w:space="0"/>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single" w:color="auto" w:sz="4" w:space="0"/>
              <w:left w:val="single" w:color="auto" w:sz="4" w:space="0"/>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shd w:val="clear" w:color="auto" w:fill="auto"/>
            <w:vAlign w:val="center"/>
          </w:tcPr>
          <w:p>
            <w:pPr>
              <w:pStyle w:val="24"/>
              <w:rPr>
                <w:rFonts w:ascii="Times New Roman" w:hAnsi="Times New Roman"/>
                <w:color w:val="auto"/>
                <w:sz w:val="18"/>
                <w:szCs w:val="18"/>
              </w:rPr>
            </w:pPr>
          </w:p>
        </w:tc>
        <w:tc>
          <w:tcPr>
            <w:tcW w:w="999" w:type="dxa"/>
            <w:vMerge w:val="restart"/>
            <w:tcBorders>
              <w:top w:val="nil"/>
              <w:left w:val="single" w:color="auto" w:sz="4" w:space="0"/>
              <w:bottom w:val="single" w:color="auto" w:sz="4" w:space="0"/>
              <w:right w:val="single" w:color="auto" w:sz="4" w:space="0"/>
            </w:tcBorders>
            <w:shd w:val="clear" w:color="auto" w:fill="C0C0C0"/>
            <w:textDirection w:val="tbRlV"/>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与项目有关的其它特征污染物</w:t>
            </w:r>
          </w:p>
        </w:tc>
        <w:tc>
          <w:tcPr>
            <w:tcW w:w="799" w:type="dxa"/>
            <w:tcBorders>
              <w:top w:val="nil"/>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806"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hint="default" w:ascii="Times New Roman" w:hAnsi="Times New Roman" w:eastAsia="宋体"/>
                <w:color w:val="auto"/>
                <w:sz w:val="18"/>
                <w:szCs w:val="18"/>
                <w:lang w:val="en-US" w:eastAsia="zh-CN"/>
              </w:rPr>
            </w:pPr>
          </w:p>
        </w:tc>
        <w:tc>
          <w:tcPr>
            <w:tcW w:w="1289"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999"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79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999"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79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p>
        </w:tc>
      </w:tr>
      <w:tr>
        <w:tblPrEx>
          <w:tblCellMar>
            <w:top w:w="0" w:type="dxa"/>
            <w:left w:w="108" w:type="dxa"/>
            <w:bottom w:w="0" w:type="dxa"/>
            <w:right w:w="108" w:type="dxa"/>
          </w:tblCellMar>
        </w:tblPrEx>
        <w:trPr>
          <w:jc w:val="center"/>
        </w:trPr>
        <w:tc>
          <w:tcPr>
            <w:tcW w:w="895"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999" w:type="dxa"/>
            <w:vMerge w:val="continue"/>
            <w:tcBorders>
              <w:top w:val="nil"/>
              <w:left w:val="single" w:color="auto" w:sz="4" w:space="0"/>
              <w:bottom w:val="single" w:color="auto" w:sz="4" w:space="0"/>
              <w:right w:val="single" w:color="auto" w:sz="4" w:space="0"/>
            </w:tcBorders>
            <w:vAlign w:val="center"/>
          </w:tcPr>
          <w:p>
            <w:pPr>
              <w:pStyle w:val="24"/>
              <w:rPr>
                <w:rFonts w:ascii="Times New Roman" w:hAnsi="Times New Roman"/>
                <w:color w:val="auto"/>
                <w:sz w:val="18"/>
                <w:szCs w:val="18"/>
              </w:rPr>
            </w:pPr>
          </w:p>
        </w:tc>
        <w:tc>
          <w:tcPr>
            <w:tcW w:w="79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933" w:type="dxa"/>
            <w:gridSpan w:val="2"/>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1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725"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953"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044" w:type="dxa"/>
            <w:gridSpan w:val="3"/>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376"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806" w:type="dxa"/>
            <w:gridSpan w:val="3"/>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289"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1807" w:type="dxa"/>
            <w:gridSpan w:val="2"/>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828"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797" w:type="dxa"/>
            <w:tcBorders>
              <w:top w:val="single" w:color="auto" w:sz="4" w:space="0"/>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c>
          <w:tcPr>
            <w:tcW w:w="756" w:type="dxa"/>
            <w:tcBorders>
              <w:top w:val="nil"/>
              <w:left w:val="nil"/>
              <w:bottom w:val="single" w:color="auto" w:sz="4" w:space="0"/>
              <w:right w:val="single" w:color="auto" w:sz="4" w:space="0"/>
            </w:tcBorders>
            <w:vAlign w:val="center"/>
          </w:tcPr>
          <w:p>
            <w:pPr>
              <w:pStyle w:val="24"/>
              <w:spacing w:line="240" w:lineRule="exact"/>
              <w:rPr>
                <w:rFonts w:ascii="Times New Roman" w:hAnsi="Times New Roman"/>
                <w:color w:val="auto"/>
                <w:sz w:val="18"/>
                <w:szCs w:val="18"/>
              </w:rPr>
            </w:pPr>
            <w:r>
              <w:rPr>
                <w:rFonts w:ascii="Times New Roman" w:hAnsi="Times New Roman"/>
                <w:color w:val="auto"/>
                <w:sz w:val="18"/>
                <w:szCs w:val="18"/>
              </w:rPr>
              <w:t>　</w:t>
            </w:r>
          </w:p>
        </w:tc>
      </w:tr>
    </w:tbl>
    <w:p>
      <w:pPr>
        <w:pStyle w:val="2"/>
      </w:pPr>
    </w:p>
    <w:p>
      <w:pPr>
        <w:pStyle w:val="3"/>
      </w:pPr>
    </w:p>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91B57"/>
    <w:multiLevelType w:val="singleLevel"/>
    <w:tmpl w:val="96091B57"/>
    <w:lvl w:ilvl="0" w:tentative="0">
      <w:start w:val="1"/>
      <w:numFmt w:val="decimal"/>
      <w:suff w:val="nothing"/>
      <w:lvlText w:val="%1、"/>
      <w:lvlJc w:val="left"/>
      <w:pPr>
        <w:ind w:left="180"/>
      </w:pPr>
    </w:lvl>
  </w:abstractNum>
  <w:abstractNum w:abstractNumId="1">
    <w:nsid w:val="D92F18BB"/>
    <w:multiLevelType w:val="singleLevel"/>
    <w:tmpl w:val="D92F18BB"/>
    <w:lvl w:ilvl="0" w:tentative="0">
      <w:start w:val="4"/>
      <w:numFmt w:val="decimal"/>
      <w:suff w:val="nothing"/>
      <w:lvlText w:val="%1、"/>
      <w:lvlJc w:val="left"/>
      <w:pPr>
        <w:ind w:left="400"/>
      </w:pPr>
    </w:lvl>
  </w:abstractNum>
  <w:abstractNum w:abstractNumId="2">
    <w:nsid w:val="0ACAB75D"/>
    <w:multiLevelType w:val="singleLevel"/>
    <w:tmpl w:val="0ACAB75D"/>
    <w:lvl w:ilvl="0" w:tentative="0">
      <w:start w:val="5"/>
      <w:numFmt w:val="decimal"/>
      <w:suff w:val="nothing"/>
      <w:lvlText w:val="%1、"/>
      <w:lvlJc w:val="left"/>
      <w:pPr>
        <w:ind w:left="-30"/>
      </w:pPr>
    </w:lvl>
  </w:abstractNum>
  <w:abstractNum w:abstractNumId="3">
    <w:nsid w:val="204BAB34"/>
    <w:multiLevelType w:val="singleLevel"/>
    <w:tmpl w:val="204BAB34"/>
    <w:lvl w:ilvl="0" w:tentative="0">
      <w:start w:val="2"/>
      <w:numFmt w:val="chineseCounting"/>
      <w:suff w:val="nothing"/>
      <w:lvlText w:val="%1、"/>
      <w:lvlJc w:val="left"/>
      <w:rPr>
        <w:rFonts w:hint="eastAsia"/>
      </w:rPr>
    </w:lvl>
  </w:abstractNum>
  <w:abstractNum w:abstractNumId="4">
    <w:nsid w:val="6015DF36"/>
    <w:multiLevelType w:val="singleLevel"/>
    <w:tmpl w:val="6015DF36"/>
    <w:lvl w:ilvl="0" w:tentative="0">
      <w:start w:val="3"/>
      <w:numFmt w:val="chineseCounting"/>
      <w:suff w:val="nothing"/>
      <w:lvlText w:val="%1、"/>
      <w:lvlJc w:val="left"/>
      <w:rPr>
        <w:rFonts w:hint="eastAsia"/>
        <w:color w:val="auto"/>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mODhmZmZiZjc1NGYwNzE3YWU0ZWU0MDNkMGViYzQifQ=="/>
  </w:docVars>
  <w:rsids>
    <w:rsidRoot w:val="00172A27"/>
    <w:rsid w:val="001A3560"/>
    <w:rsid w:val="006F193E"/>
    <w:rsid w:val="0101192E"/>
    <w:rsid w:val="01AF7899"/>
    <w:rsid w:val="022962BE"/>
    <w:rsid w:val="02A20E93"/>
    <w:rsid w:val="03265A4F"/>
    <w:rsid w:val="03EA6AF9"/>
    <w:rsid w:val="04090D29"/>
    <w:rsid w:val="040A4CDE"/>
    <w:rsid w:val="04E73542"/>
    <w:rsid w:val="04F20106"/>
    <w:rsid w:val="050565C4"/>
    <w:rsid w:val="05E759A0"/>
    <w:rsid w:val="061B2585"/>
    <w:rsid w:val="06256416"/>
    <w:rsid w:val="066761DB"/>
    <w:rsid w:val="06824C50"/>
    <w:rsid w:val="06AD4824"/>
    <w:rsid w:val="06B604F7"/>
    <w:rsid w:val="077E37DC"/>
    <w:rsid w:val="07A64C74"/>
    <w:rsid w:val="08476BDA"/>
    <w:rsid w:val="085050EC"/>
    <w:rsid w:val="096D6BE2"/>
    <w:rsid w:val="0A1A0AEA"/>
    <w:rsid w:val="0BF25C3C"/>
    <w:rsid w:val="0C09358A"/>
    <w:rsid w:val="0C26177B"/>
    <w:rsid w:val="0C274322"/>
    <w:rsid w:val="0CB02B88"/>
    <w:rsid w:val="0E511416"/>
    <w:rsid w:val="0EB9722C"/>
    <w:rsid w:val="0EBC5285"/>
    <w:rsid w:val="0F0A0F0E"/>
    <w:rsid w:val="0F285E63"/>
    <w:rsid w:val="0FE459B6"/>
    <w:rsid w:val="10FB4242"/>
    <w:rsid w:val="12225754"/>
    <w:rsid w:val="12283A4B"/>
    <w:rsid w:val="13BA1D2D"/>
    <w:rsid w:val="14377C18"/>
    <w:rsid w:val="145C4FE3"/>
    <w:rsid w:val="1515166C"/>
    <w:rsid w:val="15404727"/>
    <w:rsid w:val="15F436A3"/>
    <w:rsid w:val="189156BA"/>
    <w:rsid w:val="18FD0385"/>
    <w:rsid w:val="19064726"/>
    <w:rsid w:val="1A6E0CDF"/>
    <w:rsid w:val="1A6E0E88"/>
    <w:rsid w:val="1AD92AA0"/>
    <w:rsid w:val="1AE34F87"/>
    <w:rsid w:val="1B0E7205"/>
    <w:rsid w:val="1C163292"/>
    <w:rsid w:val="1C990D7F"/>
    <w:rsid w:val="1D063C00"/>
    <w:rsid w:val="1D1E392E"/>
    <w:rsid w:val="1D3C5B5C"/>
    <w:rsid w:val="1D4116F0"/>
    <w:rsid w:val="1E027AF8"/>
    <w:rsid w:val="1E3D09D9"/>
    <w:rsid w:val="1EF2367F"/>
    <w:rsid w:val="1F380CE6"/>
    <w:rsid w:val="1F7B081E"/>
    <w:rsid w:val="205F722B"/>
    <w:rsid w:val="207B1125"/>
    <w:rsid w:val="210859A2"/>
    <w:rsid w:val="21F1089B"/>
    <w:rsid w:val="21FD4334"/>
    <w:rsid w:val="24B10C22"/>
    <w:rsid w:val="254D1973"/>
    <w:rsid w:val="2781657F"/>
    <w:rsid w:val="285C5942"/>
    <w:rsid w:val="286B1BA1"/>
    <w:rsid w:val="287D7CED"/>
    <w:rsid w:val="28B1321E"/>
    <w:rsid w:val="29412127"/>
    <w:rsid w:val="29461FD3"/>
    <w:rsid w:val="29BA1D00"/>
    <w:rsid w:val="2A5C7555"/>
    <w:rsid w:val="2AC16A1F"/>
    <w:rsid w:val="2DC257A5"/>
    <w:rsid w:val="2DDA138F"/>
    <w:rsid w:val="2E3B5E6F"/>
    <w:rsid w:val="2E6E78E3"/>
    <w:rsid w:val="2FF468BF"/>
    <w:rsid w:val="30065A1B"/>
    <w:rsid w:val="30B4081A"/>
    <w:rsid w:val="30D31EA6"/>
    <w:rsid w:val="30F36355"/>
    <w:rsid w:val="31227FD4"/>
    <w:rsid w:val="314D357F"/>
    <w:rsid w:val="31A53429"/>
    <w:rsid w:val="324A1B23"/>
    <w:rsid w:val="33D608A4"/>
    <w:rsid w:val="34083BB8"/>
    <w:rsid w:val="341016D7"/>
    <w:rsid w:val="34713981"/>
    <w:rsid w:val="347E1FFD"/>
    <w:rsid w:val="34C96FA9"/>
    <w:rsid w:val="34E558D0"/>
    <w:rsid w:val="35C43557"/>
    <w:rsid w:val="35D066DF"/>
    <w:rsid w:val="36B3674F"/>
    <w:rsid w:val="3740509E"/>
    <w:rsid w:val="376E08C8"/>
    <w:rsid w:val="396071E9"/>
    <w:rsid w:val="3AA734AD"/>
    <w:rsid w:val="3B7E1516"/>
    <w:rsid w:val="3BFD046C"/>
    <w:rsid w:val="3C0D621F"/>
    <w:rsid w:val="3C7B6F08"/>
    <w:rsid w:val="3CAA41D4"/>
    <w:rsid w:val="3CAE402A"/>
    <w:rsid w:val="3DA259D1"/>
    <w:rsid w:val="3DCE1040"/>
    <w:rsid w:val="3E22481E"/>
    <w:rsid w:val="3EE509CF"/>
    <w:rsid w:val="3EFA41F2"/>
    <w:rsid w:val="3F0A54D0"/>
    <w:rsid w:val="3F3D4330"/>
    <w:rsid w:val="3FE3102E"/>
    <w:rsid w:val="407D25A8"/>
    <w:rsid w:val="415E0021"/>
    <w:rsid w:val="418E3260"/>
    <w:rsid w:val="41FC2674"/>
    <w:rsid w:val="425730E8"/>
    <w:rsid w:val="428E0447"/>
    <w:rsid w:val="436C1E0F"/>
    <w:rsid w:val="43FA47E6"/>
    <w:rsid w:val="442A07BD"/>
    <w:rsid w:val="45222476"/>
    <w:rsid w:val="45CD3B2A"/>
    <w:rsid w:val="468C07C0"/>
    <w:rsid w:val="46DA7633"/>
    <w:rsid w:val="475A2B13"/>
    <w:rsid w:val="478004F9"/>
    <w:rsid w:val="47947891"/>
    <w:rsid w:val="47964CCB"/>
    <w:rsid w:val="47D8783A"/>
    <w:rsid w:val="482A6725"/>
    <w:rsid w:val="49114277"/>
    <w:rsid w:val="4988695B"/>
    <w:rsid w:val="49BD1CF3"/>
    <w:rsid w:val="4AA24E3F"/>
    <w:rsid w:val="4B8B598E"/>
    <w:rsid w:val="4BDF36CB"/>
    <w:rsid w:val="4BFD551D"/>
    <w:rsid w:val="4C16725F"/>
    <w:rsid w:val="4CA11F21"/>
    <w:rsid w:val="4CAD3CE6"/>
    <w:rsid w:val="4D36793A"/>
    <w:rsid w:val="4D6469E8"/>
    <w:rsid w:val="4D6A7B88"/>
    <w:rsid w:val="510779BD"/>
    <w:rsid w:val="515C6913"/>
    <w:rsid w:val="527A7856"/>
    <w:rsid w:val="52D66163"/>
    <w:rsid w:val="54D37FCD"/>
    <w:rsid w:val="55171FE6"/>
    <w:rsid w:val="55FD36F3"/>
    <w:rsid w:val="5790389D"/>
    <w:rsid w:val="57A6627F"/>
    <w:rsid w:val="57BD6EAB"/>
    <w:rsid w:val="581D7A74"/>
    <w:rsid w:val="59723DF0"/>
    <w:rsid w:val="59EE5F94"/>
    <w:rsid w:val="5A6E2C0E"/>
    <w:rsid w:val="5A854393"/>
    <w:rsid w:val="5B621E6C"/>
    <w:rsid w:val="5B95324D"/>
    <w:rsid w:val="5BBD4516"/>
    <w:rsid w:val="5BD76EE0"/>
    <w:rsid w:val="5C104A4E"/>
    <w:rsid w:val="5C8C7B09"/>
    <w:rsid w:val="5CA93FCD"/>
    <w:rsid w:val="5CE322EF"/>
    <w:rsid w:val="5D56686D"/>
    <w:rsid w:val="5D6E2740"/>
    <w:rsid w:val="5E2A27D6"/>
    <w:rsid w:val="5E486981"/>
    <w:rsid w:val="5F2D2C93"/>
    <w:rsid w:val="60191111"/>
    <w:rsid w:val="602E5A31"/>
    <w:rsid w:val="61B63600"/>
    <w:rsid w:val="62327948"/>
    <w:rsid w:val="627666FF"/>
    <w:rsid w:val="630737FB"/>
    <w:rsid w:val="633C58D6"/>
    <w:rsid w:val="648D5487"/>
    <w:rsid w:val="648D6E97"/>
    <w:rsid w:val="650511DC"/>
    <w:rsid w:val="65377283"/>
    <w:rsid w:val="6576304D"/>
    <w:rsid w:val="66157614"/>
    <w:rsid w:val="67DD4B2A"/>
    <w:rsid w:val="680415E3"/>
    <w:rsid w:val="694C0371"/>
    <w:rsid w:val="695271BA"/>
    <w:rsid w:val="69D64373"/>
    <w:rsid w:val="6A0A4A74"/>
    <w:rsid w:val="6A6E3731"/>
    <w:rsid w:val="6C1D4291"/>
    <w:rsid w:val="6C292A34"/>
    <w:rsid w:val="6C67530A"/>
    <w:rsid w:val="6D6D5222"/>
    <w:rsid w:val="6D7A2849"/>
    <w:rsid w:val="6DC9460E"/>
    <w:rsid w:val="6EC602BE"/>
    <w:rsid w:val="6ED21E2C"/>
    <w:rsid w:val="70214675"/>
    <w:rsid w:val="70294D30"/>
    <w:rsid w:val="703D7E36"/>
    <w:rsid w:val="70593D57"/>
    <w:rsid w:val="710E5330"/>
    <w:rsid w:val="713D56E7"/>
    <w:rsid w:val="715874D8"/>
    <w:rsid w:val="71A6418D"/>
    <w:rsid w:val="71B903B6"/>
    <w:rsid w:val="71E653F5"/>
    <w:rsid w:val="721F7021"/>
    <w:rsid w:val="726A769B"/>
    <w:rsid w:val="733C158D"/>
    <w:rsid w:val="738730E5"/>
    <w:rsid w:val="738A5B88"/>
    <w:rsid w:val="74582108"/>
    <w:rsid w:val="74680921"/>
    <w:rsid w:val="754A2AA8"/>
    <w:rsid w:val="755942B7"/>
    <w:rsid w:val="757E0B28"/>
    <w:rsid w:val="75C3549C"/>
    <w:rsid w:val="760B3E5B"/>
    <w:rsid w:val="76193B04"/>
    <w:rsid w:val="7719119D"/>
    <w:rsid w:val="77316D9D"/>
    <w:rsid w:val="78790820"/>
    <w:rsid w:val="787B7AD1"/>
    <w:rsid w:val="78A46A92"/>
    <w:rsid w:val="793B7903"/>
    <w:rsid w:val="797B7723"/>
    <w:rsid w:val="79BA1E92"/>
    <w:rsid w:val="79F77838"/>
    <w:rsid w:val="7BD000BE"/>
    <w:rsid w:val="7C5335DF"/>
    <w:rsid w:val="7D214006"/>
    <w:rsid w:val="7DF649EB"/>
    <w:rsid w:val="7E7B72D0"/>
    <w:rsid w:val="7FAC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2"/>
    <w:basedOn w:val="1"/>
    <w:next w:val="1"/>
    <w:qFormat/>
    <w:uiPriority w:val="0"/>
    <w:pPr>
      <w:keepNext/>
      <w:keepLines/>
      <w:widowControl w:val="0"/>
      <w:adjustRightInd/>
      <w:snapToGrid/>
      <w:spacing w:after="0" w:line="360" w:lineRule="exact"/>
      <w:jc w:val="both"/>
      <w:outlineLvl w:val="1"/>
    </w:pPr>
    <w:rPr>
      <w:rFonts w:ascii="Times New Roman" w:hAnsi="Times New Roman" w:eastAsia="宋体"/>
      <w:bCs/>
      <w:kern w:val="2"/>
      <w:sz w:val="21"/>
      <w:szCs w:val="32"/>
    </w:rPr>
  </w:style>
  <w:style w:type="paragraph" w:styleId="5">
    <w:name w:val="heading 4"/>
    <w:basedOn w:val="1"/>
    <w:next w:val="1"/>
    <w:qFormat/>
    <w:uiPriority w:val="1"/>
    <w:pPr>
      <w:ind w:left="1068"/>
      <w:outlineLvl w:val="3"/>
    </w:pPr>
    <w:rPr>
      <w:rFonts w:ascii="宋体" w:hAnsi="宋体" w:cs="宋体"/>
      <w:b/>
      <w:bCs/>
      <w:lang w:val="zh-CN" w:bidi="zh-CN"/>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customStyle="1" w:styleId="3">
    <w:name w:val="xl27"/>
    <w:basedOn w:val="1"/>
    <w:next w:val="1"/>
    <w:qFormat/>
    <w:uiPriority w:val="0"/>
    <w:pPr>
      <w:spacing w:before="100" w:beforeAutospacing="1" w:after="100" w:afterAutospacing="1"/>
    </w:pPr>
    <w:rPr>
      <w:color w:val="FF0000"/>
      <w:sz w:val="24"/>
    </w:rPr>
  </w:style>
  <w:style w:type="paragraph" w:styleId="6">
    <w:name w:val="Normal Indent"/>
    <w:basedOn w:val="1"/>
    <w:next w:val="5"/>
    <w:qFormat/>
    <w:uiPriority w:val="0"/>
    <w:pPr>
      <w:ind w:firstLine="420"/>
    </w:pPr>
    <w:rPr>
      <w:szCs w:val="20"/>
    </w:rPr>
  </w:style>
  <w:style w:type="paragraph" w:styleId="7">
    <w:name w:val="annotation text"/>
    <w:basedOn w:val="1"/>
    <w:qFormat/>
    <w:uiPriority w:val="0"/>
    <w:pPr>
      <w:jc w:val="left"/>
    </w:pPr>
  </w:style>
  <w:style w:type="paragraph" w:styleId="8">
    <w:name w:val="Salutation"/>
    <w:basedOn w:val="1"/>
    <w:next w:val="1"/>
    <w:unhideWhenUsed/>
    <w:qFormat/>
    <w:uiPriority w:val="99"/>
  </w:style>
  <w:style w:type="paragraph" w:styleId="9">
    <w:name w:val="Body Text Indent"/>
    <w:basedOn w:val="1"/>
    <w:next w:val="10"/>
    <w:qFormat/>
    <w:uiPriority w:val="0"/>
    <w:pPr>
      <w:spacing w:line="400" w:lineRule="exact"/>
      <w:ind w:firstLine="630"/>
    </w:pPr>
    <w:rPr>
      <w:sz w:val="32"/>
    </w:rPr>
  </w:style>
  <w:style w:type="paragraph" w:styleId="10">
    <w:name w:val="Body Text Indent 2"/>
    <w:basedOn w:val="1"/>
    <w:next w:val="11"/>
    <w:qFormat/>
    <w:uiPriority w:val="0"/>
    <w:pPr>
      <w:spacing w:after="120" w:line="480" w:lineRule="auto"/>
      <w:ind w:left="420" w:leftChars="200"/>
    </w:pPr>
  </w:style>
  <w:style w:type="paragraph" w:styleId="11">
    <w:name w:val="Body Text First Indent 2"/>
    <w:basedOn w:val="9"/>
    <w:next w:val="1"/>
    <w:qFormat/>
    <w:uiPriority w:val="0"/>
    <w:pPr>
      <w:spacing w:after="120"/>
      <w:ind w:left="420" w:firstLine="210"/>
    </w:pPr>
    <w:rPr>
      <w:rFonts w:eastAsia="楷体_GB2312"/>
      <w:sz w:val="30"/>
    </w:rPr>
  </w:style>
  <w:style w:type="paragraph" w:styleId="12">
    <w:name w:val="Plain Text"/>
    <w:basedOn w:val="1"/>
    <w:next w:val="8"/>
    <w:qFormat/>
    <w:uiPriority w:val="0"/>
    <w:rPr>
      <w:rFonts w:ascii="宋体" w:hAnsi="Courier New"/>
      <w:sz w:val="26"/>
      <w:szCs w:val="20"/>
    </w:rPr>
  </w:style>
  <w:style w:type="paragraph" w:styleId="13">
    <w:name w:val="footer"/>
    <w:basedOn w:val="1"/>
    <w:qFormat/>
    <w:uiPriority w:val="0"/>
    <w:pPr>
      <w:tabs>
        <w:tab w:val="center" w:pos="4153"/>
        <w:tab w:val="right" w:pos="8306"/>
      </w:tabs>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16">
    <w:name w:val="Body Text First Indent"/>
    <w:basedOn w:val="2"/>
    <w:qFormat/>
    <w:uiPriority w:val="0"/>
    <w:pPr>
      <w:ind w:firstLine="420" w:firstLineChars="100"/>
    </w:pPr>
    <w:rPr>
      <w:sz w:val="21"/>
      <w:szCs w:val="24"/>
      <w:lang w:val="zh-CN"/>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paragraph" w:customStyle="1" w:styleId="21">
    <w:name w:val="表格内容自定"/>
    <w:basedOn w:val="1"/>
    <w:qFormat/>
    <w:uiPriority w:val="0"/>
    <w:pPr>
      <w:spacing w:line="280" w:lineRule="exact"/>
      <w:jc w:val="center"/>
    </w:pPr>
    <w:rPr>
      <w:sz w:val="18"/>
      <w:szCs w:val="21"/>
    </w:rPr>
  </w:style>
  <w:style w:type="paragraph" w:customStyle="1" w:styleId="22">
    <w:name w:val="A标准格式"/>
    <w:basedOn w:val="1"/>
    <w:qFormat/>
    <w:uiPriority w:val="0"/>
    <w:pPr>
      <w:ind w:firstLine="480"/>
    </w:pPr>
  </w:style>
  <w:style w:type="character" w:customStyle="1" w:styleId="23">
    <w:name w:val="表格标题 Char"/>
    <w:basedOn w:val="19"/>
    <w:qFormat/>
    <w:uiPriority w:val="0"/>
    <w:rPr>
      <w:rFonts w:ascii="Times New Roman" w:hAnsi="Times New Roman" w:eastAsia="宋体" w:cs="宋体"/>
      <w:b/>
      <w:kern w:val="2"/>
      <w:sz w:val="24"/>
      <w:lang w:bidi="ar-SA"/>
    </w:rPr>
  </w:style>
  <w:style w:type="paragraph" w:customStyle="1" w:styleId="24">
    <w:name w:val="表格文字"/>
    <w:basedOn w:val="2"/>
    <w:next w:val="25"/>
    <w:qFormat/>
    <w:uiPriority w:val="0"/>
    <w:pPr>
      <w:spacing w:after="0"/>
      <w:jc w:val="center"/>
    </w:pPr>
    <w:rPr>
      <w:rFonts w:ascii="宋体" w:hAnsi="宋体" w:eastAsia="宋体"/>
      <w:sz w:val="21"/>
      <w:szCs w:val="20"/>
    </w:rPr>
  </w:style>
  <w:style w:type="paragraph" w:customStyle="1" w:styleId="25">
    <w:name w:val="Char Char Char Char Char Char"/>
    <w:basedOn w:val="1"/>
    <w:qFormat/>
    <w:uiPriority w:val="0"/>
    <w:rPr>
      <w:sz w:val="24"/>
    </w:rPr>
  </w:style>
  <w:style w:type="paragraph" w:customStyle="1" w:styleId="2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7">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28">
    <w:name w:val="正文1"/>
    <w:basedOn w:val="1"/>
    <w:qFormat/>
    <w:uiPriority w:val="0"/>
    <w:pPr>
      <w:spacing w:line="600" w:lineRule="exact"/>
      <w:ind w:firstLine="200" w:firstLineChars="200"/>
    </w:pPr>
    <w:rPr>
      <w:sz w:val="28"/>
      <w:szCs w:val="28"/>
    </w:rPr>
  </w:style>
  <w:style w:type="paragraph" w:customStyle="1" w:styleId="29">
    <w:name w:val="表头文字"/>
    <w:basedOn w:val="1"/>
    <w:next w:val="1"/>
    <w:qFormat/>
    <w:uiPriority w:val="0"/>
    <w:pPr>
      <w:adjustRightInd w:val="0"/>
      <w:snapToGrid w:val="0"/>
      <w:ind w:firstLine="0" w:firstLineChars="0"/>
      <w:jc w:val="center"/>
    </w:pPr>
    <w:rPr>
      <w:b/>
    </w:rPr>
  </w:style>
  <w:style w:type="paragraph" w:customStyle="1" w:styleId="30">
    <w:name w:val="表格内文字"/>
    <w:basedOn w:val="1"/>
    <w:qFormat/>
    <w:uiPriority w:val="0"/>
    <w:pPr>
      <w:tabs>
        <w:tab w:val="left" w:pos="0"/>
      </w:tabs>
      <w:adjustRightInd w:val="0"/>
      <w:snapToGrid w:val="0"/>
      <w:jc w:val="center"/>
    </w:pPr>
    <w:rPr>
      <w:rFonts w:eastAsia="仿宋_GB231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11895</Words>
  <Characters>14443</Characters>
  <Lines>0</Lines>
  <Paragraphs>0</Paragraphs>
  <TotalTime>1</TotalTime>
  <ScaleCrop>false</ScaleCrop>
  <LinksUpToDate>false</LinksUpToDate>
  <CharactersWithSpaces>14747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2021-08-05T03:00:00Z</dcterms:created>
  <dc:creator>Administrator</dc:creator>
  <cp:lastModifiedBy>WPS_1546604839</cp:lastModifiedBy>
  <cp:lastPrinted>2021-11-16T08:34:00Z</cp:lastPrinted>
  <dcterms:modified xsi:type="dcterms:W3CDTF">2022-09-19T00:33:25Z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F3CDFD638BFB46BE904C07ACA1A7FF36</vt:lpwstr>
  </property>
</Properties>
</file>