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sz w:val="48"/>
          <w:szCs w:val="56"/>
        </w:rPr>
      </w:pPr>
    </w:p>
    <w:p>
      <w:pPr>
        <w:pStyle w:val="9"/>
        <w:rPr>
          <w:rFonts w:hint="default" w:ascii="Times New Roman" w:hAnsi="Times New Roman" w:eastAsia="宋体" w:cs="Times New Roman"/>
          <w:sz w:val="48"/>
          <w:szCs w:val="56"/>
        </w:rPr>
      </w:pPr>
    </w:p>
    <w:p>
      <w:pPr>
        <w:pStyle w:val="9"/>
        <w:rPr>
          <w:rFonts w:hint="default" w:ascii="Times New Roman" w:hAnsi="Times New Roman" w:eastAsia="宋体" w:cs="Times New Roman"/>
          <w:sz w:val="48"/>
          <w:szCs w:val="56"/>
        </w:rPr>
      </w:pPr>
    </w:p>
    <w:p>
      <w:pPr>
        <w:jc w:val="center"/>
        <w:rPr>
          <w:rFonts w:hint="default" w:ascii="Times New Roman" w:hAnsi="Times New Roman" w:eastAsia="宋体" w:cs="Times New Roman"/>
          <w:sz w:val="48"/>
          <w:szCs w:val="56"/>
        </w:rPr>
      </w:pPr>
    </w:p>
    <w:p>
      <w:pPr>
        <w:jc w:val="center"/>
        <w:rPr>
          <w:rFonts w:hint="default" w:ascii="Times New Roman" w:hAnsi="Times New Roman" w:eastAsia="宋体" w:cs="Times New Roman"/>
          <w:b/>
          <w:bCs/>
          <w:color w:val="000000"/>
          <w:sz w:val="48"/>
          <w:szCs w:val="48"/>
        </w:rPr>
      </w:pPr>
      <w:r>
        <w:rPr>
          <w:rFonts w:hint="default" w:ascii="Times New Roman" w:hAnsi="Times New Roman" w:eastAsia="宋体" w:cs="Times New Roman"/>
          <w:b/>
          <w:bCs/>
          <w:color w:val="000000"/>
          <w:sz w:val="48"/>
          <w:szCs w:val="48"/>
        </w:rPr>
        <w:t>东津河石口至沙埠段河道治理工程</w:t>
      </w:r>
    </w:p>
    <w:p>
      <w:pPr>
        <w:jc w:val="center"/>
        <w:rPr>
          <w:rFonts w:hint="default" w:ascii="Times New Roman" w:hAnsi="Times New Roman" w:eastAsia="宋体" w:cs="Times New Roman"/>
          <w:b/>
          <w:bCs/>
          <w:sz w:val="48"/>
          <w:szCs w:val="56"/>
        </w:rPr>
      </w:pPr>
      <w:r>
        <w:rPr>
          <w:rFonts w:hint="default" w:ascii="Times New Roman" w:hAnsi="Times New Roman" w:eastAsia="宋体" w:cs="Times New Roman"/>
          <w:b/>
          <w:bCs/>
          <w:color w:val="000000"/>
          <w:sz w:val="48"/>
          <w:szCs w:val="48"/>
        </w:rPr>
        <w:t>建设项目竣工环境保护验收调查表</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widowControl/>
        <w:adjustRightInd w:val="0"/>
        <w:snapToGrid w:val="0"/>
        <w:spacing w:line="360" w:lineRule="auto"/>
        <w:ind w:firstLine="1400" w:firstLineChars="500"/>
        <w:jc w:val="left"/>
        <w:rPr>
          <w:rFonts w:hint="default" w:ascii="Times New Roman" w:hAnsi="Times New Roman" w:eastAsia="宋体" w:cs="Times New Roman"/>
          <w:color w:val="000000"/>
          <w:kern w:val="0"/>
          <w:sz w:val="28"/>
          <w:szCs w:val="28"/>
          <w:lang w:val="en-US" w:eastAsia="zh-CN"/>
        </w:rPr>
      </w:pPr>
      <w:r>
        <w:rPr>
          <w:rFonts w:hint="default" w:ascii="Times New Roman" w:hAnsi="Times New Roman" w:eastAsia="宋体" w:cs="Times New Roman"/>
          <w:color w:val="000000"/>
          <w:kern w:val="0"/>
          <w:sz w:val="28"/>
          <w:szCs w:val="28"/>
        </w:rPr>
        <w:t>建设单位：</w:t>
      </w:r>
      <w:r>
        <w:rPr>
          <w:rFonts w:hint="default" w:ascii="Times New Roman" w:hAnsi="Times New Roman" w:eastAsia="宋体" w:cs="Times New Roman"/>
          <w:color w:val="000000"/>
          <w:sz w:val="28"/>
          <w:szCs w:val="28"/>
          <w:lang w:val="en-US" w:eastAsia="zh-CN"/>
        </w:rPr>
        <w:t>宁国市水利局</w:t>
      </w:r>
    </w:p>
    <w:p>
      <w:pPr>
        <w:widowControl/>
        <w:adjustRightInd w:val="0"/>
        <w:snapToGrid w:val="0"/>
        <w:spacing w:line="360" w:lineRule="auto"/>
        <w:ind w:firstLine="1400" w:firstLineChars="500"/>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rPr>
        <w:t>编制单位：宁国市浚成环境检测有限公司</w:t>
      </w:r>
    </w:p>
    <w:p>
      <w:pPr>
        <w:widowControl/>
        <w:adjustRightInd w:val="0"/>
        <w:snapToGrid w:val="0"/>
        <w:spacing w:line="360" w:lineRule="auto"/>
        <w:ind w:firstLine="1400" w:firstLineChars="500"/>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rPr>
        <w:t>编制日期：二〇二</w:t>
      </w:r>
      <w:r>
        <w:rPr>
          <w:rFonts w:hint="default" w:ascii="Times New Roman" w:hAnsi="Times New Roman" w:eastAsia="宋体" w:cs="Times New Roman"/>
          <w:color w:val="000000"/>
          <w:kern w:val="0"/>
          <w:sz w:val="28"/>
          <w:szCs w:val="28"/>
          <w:lang w:val="en-US" w:eastAsia="zh-CN"/>
        </w:rPr>
        <w:t>二</w:t>
      </w:r>
      <w:r>
        <w:rPr>
          <w:rFonts w:hint="default" w:ascii="Times New Roman" w:hAnsi="Times New Roman" w:eastAsia="宋体" w:cs="Times New Roman"/>
          <w:color w:val="000000"/>
          <w:kern w:val="0"/>
          <w:sz w:val="28"/>
          <w:szCs w:val="28"/>
        </w:rPr>
        <w:t>年</w:t>
      </w:r>
      <w:r>
        <w:rPr>
          <w:rFonts w:hint="eastAsia" w:ascii="Times New Roman" w:hAnsi="Times New Roman" w:eastAsia="宋体" w:cs="Times New Roman"/>
          <w:color w:val="000000"/>
          <w:kern w:val="0"/>
          <w:sz w:val="28"/>
          <w:szCs w:val="28"/>
          <w:lang w:eastAsia="zh-CN"/>
        </w:rPr>
        <w:t>九</w:t>
      </w:r>
      <w:r>
        <w:rPr>
          <w:rFonts w:hint="default" w:ascii="Times New Roman" w:hAnsi="Times New Roman" w:eastAsia="宋体" w:cs="Times New Roman"/>
          <w:color w:val="000000"/>
          <w:kern w:val="0"/>
          <w:sz w:val="28"/>
          <w:szCs w:val="28"/>
        </w:rPr>
        <w:t>月</w:t>
      </w:r>
    </w:p>
    <w:p>
      <w:pPr>
        <w:tabs>
          <w:tab w:val="left" w:pos="956"/>
        </w:tabs>
        <w:jc w:val="left"/>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right"/>
        <w:rPr>
          <w:rFonts w:hint="default" w:ascii="Times New Roman" w:hAnsi="Times New Roman" w:eastAsia="宋体" w:cs="Times New Roman"/>
        </w:rPr>
      </w:pPr>
    </w:p>
    <w:p>
      <w:pPr>
        <w:spacing w:line="365" w:lineRule="auto"/>
        <w:rPr>
          <w:rFonts w:hint="default" w:ascii="Times New Roman" w:hAnsi="Times New Roman" w:eastAsia="宋体" w:cs="Times New Roman"/>
          <w:b/>
          <w:color w:val="000000"/>
          <w:sz w:val="28"/>
        </w:rPr>
      </w:pPr>
    </w:p>
    <w:p>
      <w:pPr>
        <w:spacing w:line="365" w:lineRule="auto"/>
        <w:rPr>
          <w:rFonts w:hint="default" w:ascii="Times New Roman" w:hAnsi="Times New Roman" w:eastAsia="宋体" w:cs="Times New Roman"/>
          <w:b/>
          <w:color w:val="000000"/>
          <w:sz w:val="28"/>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365" w:lineRule="auto"/>
        <w:rPr>
          <w:rFonts w:hint="default" w:ascii="Times New Roman" w:hAnsi="Times New Roman" w:eastAsia="仿宋" w:cs="Times New Roman"/>
          <w:color w:val="000000"/>
          <w:sz w:val="28"/>
        </w:rPr>
      </w:pPr>
      <w:r>
        <w:rPr>
          <w:rFonts w:hint="default" w:ascii="Times New Roman" w:hAnsi="Times New Roman" w:eastAsia="仿宋" w:cs="Times New Roman"/>
          <w:b/>
          <w:color w:val="000000"/>
          <w:sz w:val="28"/>
        </w:rPr>
        <w:t>建设单位法人代表:</w:t>
      </w:r>
      <w:r>
        <w:rPr>
          <w:rFonts w:hint="default" w:ascii="Times New Roman" w:hAnsi="Times New Roman" w:eastAsia="仿宋" w:cs="Times New Roman"/>
          <w:sz w:val="28"/>
          <w:szCs w:val="28"/>
          <w:lang w:val="en-US" w:eastAsia="zh-CN"/>
        </w:rPr>
        <w:t>王家柱</w:t>
      </w:r>
      <w:r>
        <w:rPr>
          <w:rFonts w:hint="default" w:ascii="Times New Roman" w:hAnsi="Times New Roman" w:eastAsia="仿宋" w:cs="Times New Roman"/>
          <w:color w:val="000000"/>
          <w:sz w:val="28"/>
        </w:rPr>
        <w:t xml:space="preserve">     </w:t>
      </w:r>
    </w:p>
    <w:p>
      <w:pPr>
        <w:spacing w:line="365" w:lineRule="auto"/>
        <w:rPr>
          <w:rFonts w:hint="default" w:ascii="Times New Roman" w:hAnsi="Times New Roman" w:eastAsia="仿宋" w:cs="Times New Roman"/>
          <w:b/>
          <w:color w:val="000000"/>
          <w:sz w:val="28"/>
        </w:rPr>
      </w:pPr>
    </w:p>
    <w:p>
      <w:pPr>
        <w:spacing w:line="365" w:lineRule="auto"/>
        <w:rPr>
          <w:rFonts w:hint="default" w:ascii="Times New Roman" w:hAnsi="Times New Roman" w:eastAsia="仿宋" w:cs="Times New Roman"/>
          <w:color w:val="000000"/>
          <w:sz w:val="28"/>
        </w:rPr>
      </w:pPr>
      <w:r>
        <w:rPr>
          <w:rFonts w:hint="default" w:ascii="Times New Roman" w:hAnsi="Times New Roman" w:eastAsia="仿宋" w:cs="Times New Roman"/>
          <w:b/>
          <w:color w:val="000000"/>
          <w:sz w:val="28"/>
        </w:rPr>
        <w:t>编制单位法人代表:</w:t>
      </w:r>
      <w:r>
        <w:rPr>
          <w:rFonts w:hint="default" w:ascii="Times New Roman" w:hAnsi="Times New Roman" w:eastAsia="仿宋" w:cs="Times New Roman"/>
          <w:sz w:val="28"/>
          <w:szCs w:val="28"/>
        </w:rPr>
        <w:t>杨明辉</w:t>
      </w:r>
      <w:r>
        <w:rPr>
          <w:rFonts w:hint="default" w:ascii="Times New Roman" w:hAnsi="Times New Roman" w:eastAsia="仿宋" w:cs="Times New Roman"/>
          <w:color w:val="000000"/>
          <w:sz w:val="28"/>
        </w:rPr>
        <w:tab/>
      </w:r>
      <w:r>
        <w:rPr>
          <w:rFonts w:hint="default" w:ascii="Times New Roman" w:hAnsi="Times New Roman" w:eastAsia="仿宋" w:cs="Times New Roman"/>
          <w:color w:val="000000"/>
          <w:sz w:val="28"/>
        </w:rPr>
        <w:t xml:space="preserve">    </w:t>
      </w:r>
    </w:p>
    <w:p>
      <w:pPr>
        <w:spacing w:line="365" w:lineRule="auto"/>
        <w:rPr>
          <w:rFonts w:hint="default" w:ascii="Times New Roman" w:hAnsi="Times New Roman" w:eastAsia="宋体" w:cs="Times New Roman"/>
          <w:color w:val="000000"/>
          <w:sz w:val="28"/>
        </w:rPr>
      </w:pPr>
      <w:r>
        <w:rPr>
          <w:rFonts w:hint="default" w:ascii="Times New Roman" w:hAnsi="Times New Roman" w:eastAsia="仿宋" w:cs="Times New Roman"/>
          <w:b/>
          <w:bCs/>
          <w:color w:val="000000"/>
          <w:sz w:val="28"/>
        </w:rPr>
        <w:t>项目负责人：</w:t>
      </w:r>
      <w:r>
        <w:rPr>
          <w:rFonts w:hint="default" w:ascii="Times New Roman" w:hAnsi="Times New Roman" w:eastAsia="仿宋" w:cs="Times New Roman"/>
          <w:color w:val="000000"/>
          <w:sz w:val="28"/>
          <w:lang w:val="en-US" w:eastAsia="zh-CN"/>
        </w:rPr>
        <w:t>徐碧晖</w:t>
      </w:r>
      <w:r>
        <w:rPr>
          <w:rFonts w:hint="default" w:ascii="Times New Roman" w:hAnsi="Times New Roman" w:eastAsia="仿宋" w:cs="Times New Roman"/>
          <w:color w:val="000000"/>
          <w:sz w:val="28"/>
        </w:rPr>
        <w:t xml:space="preserve">  </w:t>
      </w:r>
      <w:r>
        <w:rPr>
          <w:rFonts w:hint="default" w:ascii="Times New Roman" w:hAnsi="Times New Roman" w:eastAsia="宋体" w:cs="Times New Roman"/>
          <w:color w:val="000000"/>
          <w:sz w:val="28"/>
        </w:rPr>
        <w:t xml:space="preserve">  </w:t>
      </w:r>
    </w:p>
    <w:p>
      <w:pPr>
        <w:spacing w:line="365" w:lineRule="auto"/>
        <w:rPr>
          <w:rFonts w:hint="default" w:ascii="Times New Roman" w:hAnsi="Times New Roman" w:eastAsia="仿宋" w:cs="Times New Roman"/>
          <w:b/>
          <w:color w:val="000000"/>
          <w:sz w:val="28"/>
          <w:lang w:eastAsia="zh-CN"/>
        </w:rPr>
      </w:pPr>
      <w:r>
        <w:rPr>
          <w:rFonts w:hint="default" w:ascii="Times New Roman" w:hAnsi="Times New Roman" w:eastAsia="仿宋" w:cs="Times New Roman"/>
          <w:b/>
          <w:color w:val="000000"/>
          <w:sz w:val="28"/>
          <w:lang w:val="en-US" w:eastAsia="zh-CN"/>
        </w:rPr>
        <w:t>编制人员</w:t>
      </w:r>
      <w:r>
        <w:rPr>
          <w:rFonts w:hint="default" w:ascii="Times New Roman" w:hAnsi="Times New Roman" w:eastAsia="仿宋" w:cs="Times New Roman"/>
          <w:b/>
          <w:color w:val="000000"/>
          <w:sz w:val="28"/>
        </w:rPr>
        <w:t xml:space="preserve"> </w:t>
      </w:r>
      <w:r>
        <w:rPr>
          <w:rFonts w:hint="default" w:ascii="Times New Roman" w:hAnsi="Times New Roman" w:eastAsia="仿宋" w:cs="Times New Roman"/>
          <w:b/>
          <w:color w:val="000000"/>
          <w:sz w:val="28"/>
          <w:lang w:eastAsia="zh-CN"/>
        </w:rPr>
        <w:t>：</w:t>
      </w:r>
      <w:r>
        <w:rPr>
          <w:rFonts w:hint="default" w:ascii="Times New Roman" w:hAnsi="Times New Roman" w:eastAsia="仿宋" w:cs="Times New Roman"/>
          <w:color w:val="000000"/>
          <w:sz w:val="28"/>
        </w:rPr>
        <w:t>兰天俣</w:t>
      </w:r>
    </w:p>
    <w:p>
      <w:pPr>
        <w:spacing w:line="365"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p>
    <w:p>
      <w:pPr>
        <w:tabs>
          <w:tab w:val="left" w:pos="984"/>
        </w:tabs>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tabs>
          <w:tab w:val="left" w:pos="984"/>
        </w:tabs>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编制单位联系方式</w:t>
      </w:r>
    </w:p>
    <w:p>
      <w:pPr>
        <w:spacing w:line="360" w:lineRule="auto"/>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电话：</w:t>
      </w:r>
      <w:r>
        <w:rPr>
          <w:rFonts w:hint="default" w:ascii="Times New Roman" w:hAnsi="Times New Roman" w:eastAsia="仿宋" w:cs="Times New Roman"/>
          <w:sz w:val="24"/>
          <w:szCs w:val="24"/>
          <w:lang w:val="en-US" w:eastAsia="zh-CN"/>
        </w:rPr>
        <w:t>0563-4111056</w:t>
      </w:r>
    </w:p>
    <w:p>
      <w:pPr>
        <w:keepNext w:val="0"/>
        <w:keepLines w:val="0"/>
        <w:pageBreakBefore w:val="0"/>
        <w:widowControl w:val="0"/>
        <w:tabs>
          <w:tab w:val="left" w:pos="1079"/>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地址：</w:t>
      </w:r>
      <w:r>
        <w:rPr>
          <w:rFonts w:hint="default" w:ascii="Times New Roman" w:hAnsi="Times New Roman" w:eastAsia="仿宋" w:cs="Times New Roman"/>
          <w:kern w:val="2"/>
          <w:sz w:val="24"/>
          <w:szCs w:val="24"/>
          <w:vertAlign w:val="baseline"/>
          <w:lang w:val="en-US" w:eastAsia="zh-CN" w:bidi="ar-SA"/>
        </w:rPr>
        <w:t>宁国市经济技术开发区千秋南路麦尔克塑业院内二楼</w:t>
      </w: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pStyle w:val="9"/>
        <w:rPr>
          <w:rFonts w:hint="default" w:ascii="Times New Roman" w:hAnsi="Times New Roman" w:eastAsia="宋体" w:cs="Times New Roman"/>
          <w:color w:val="000000"/>
          <w:sz w:val="28"/>
        </w:rPr>
      </w:pPr>
    </w:p>
    <w:p>
      <w:pPr>
        <w:rPr>
          <w:rFonts w:hint="default" w:ascii="Times New Roman" w:hAnsi="Times New Roman" w:eastAsia="宋体" w:cs="Times New Roman"/>
          <w:color w:val="000000"/>
          <w:sz w:val="28"/>
        </w:rPr>
      </w:pPr>
    </w:p>
    <w:p>
      <w:pPr>
        <w:pStyle w:val="9"/>
        <w:rPr>
          <w:rFonts w:hint="default" w:ascii="Times New Roman" w:hAnsi="Times New Roman" w:cs="Times New Roman"/>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仿宋" w:cs="Times New Roman"/>
          <w:color w:val="000000"/>
          <w:szCs w:val="21"/>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rFonts w:hint="default" w:ascii="Times New Roman" w:hAnsi="Times New Roman" w:eastAsia="仿宋" w:cs="Times New Roman"/>
          <w:color w:val="000000"/>
          <w:sz w:val="28"/>
        </w:rPr>
        <w:t>建设单位         （盖章）        编制单位          （盖章）</w:t>
      </w:r>
    </w:p>
    <w:p>
      <w:pPr>
        <w:pStyle w:val="9"/>
        <w:tabs>
          <w:tab w:val="left" w:pos="788"/>
        </w:tabs>
        <w:spacing w:line="424" w:lineRule="exact"/>
        <w:ind w:right="274"/>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项目总体情况</w:t>
      </w:r>
    </w:p>
    <w:tbl>
      <w:tblPr>
        <w:tblStyle w:val="20"/>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295"/>
        <w:gridCol w:w="1450"/>
        <w:gridCol w:w="526"/>
        <w:gridCol w:w="404"/>
        <w:gridCol w:w="456"/>
        <w:gridCol w:w="763"/>
        <w:gridCol w:w="402"/>
        <w:gridCol w:w="818"/>
        <w:gridCol w:w="400"/>
        <w:gridCol w:w="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建设项目名称</w:t>
            </w:r>
          </w:p>
        </w:tc>
        <w:tc>
          <w:tcPr>
            <w:tcW w:w="3623" w:type="pct"/>
            <w:gridSpan w:val="9"/>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东津河石口至沙埠段河道治理工程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376" w:type="pct"/>
            <w:vAlign w:val="center"/>
          </w:tcPr>
          <w:p>
            <w:pPr>
              <w:pStyle w:val="34"/>
              <w:spacing w:line="375" w:lineRule="exact"/>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3623" w:type="pct"/>
            <w:gridSpan w:val="9"/>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宁国市水利局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184" w:type="pct"/>
            <w:gridSpan w:val="2"/>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王家柱 </w:t>
            </w:r>
          </w:p>
        </w:tc>
        <w:tc>
          <w:tcPr>
            <w:tcW w:w="1213" w:type="pct"/>
            <w:gridSpan w:val="4"/>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联系人</w:t>
            </w:r>
          </w:p>
        </w:tc>
        <w:tc>
          <w:tcPr>
            <w:tcW w:w="1225" w:type="pct"/>
            <w:gridSpan w:val="3"/>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潘剑锋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3623" w:type="pct"/>
            <w:gridSpan w:val="9"/>
            <w:vAlign w:val="center"/>
          </w:tcPr>
          <w:p>
            <w:pPr>
              <w:pStyle w:val="34"/>
              <w:tabs>
                <w:tab w:val="left" w:pos="3608"/>
              </w:tabs>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安徽省宁国市</w:t>
            </w:r>
            <w:r>
              <w:rPr>
                <w:rFonts w:hint="eastAsia" w:ascii="Times New Roman" w:hAnsi="Times New Roman" w:eastAsia="宋体" w:cs="Times New Roman"/>
                <w:sz w:val="21"/>
                <w:szCs w:val="21"/>
                <w:lang w:eastAsia="zh-CN"/>
              </w:rPr>
              <w:t>宁阳中路</w:t>
            </w:r>
            <w:r>
              <w:rPr>
                <w:rFonts w:hint="eastAsia" w:ascii="Times New Roman" w:hAnsi="Times New Roman" w:eastAsia="宋体" w:cs="Times New Roman"/>
                <w:sz w:val="21"/>
                <w:szCs w:val="21"/>
                <w:lang w:val="en-US" w:eastAsia="zh-CN"/>
              </w:rPr>
              <w:t>123号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76" w:type="pct"/>
            <w:vAlign w:val="center"/>
          </w:tcPr>
          <w:p>
            <w:pPr>
              <w:pStyle w:val="34"/>
              <w:spacing w:line="376" w:lineRule="exact"/>
              <w:jc w:val="center"/>
              <w:rPr>
                <w:rFonts w:hint="default" w:ascii="Times New Roman" w:hAnsi="Times New Roman" w:eastAsia="宋体" w:cs="Times New Roman"/>
              </w:rPr>
            </w:pPr>
            <w:r>
              <w:rPr>
                <w:rFonts w:hint="default" w:ascii="Times New Roman" w:hAnsi="Times New Roman" w:eastAsia="宋体" w:cs="Times New Roman"/>
              </w:rPr>
              <w:t>联系电话</w:t>
            </w:r>
          </w:p>
        </w:tc>
        <w:tc>
          <w:tcPr>
            <w:tcW w:w="869" w:type="pct"/>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13856336450</w:t>
            </w:r>
          </w:p>
        </w:tc>
        <w:tc>
          <w:tcPr>
            <w:tcW w:w="557" w:type="pct"/>
            <w:gridSpan w:val="2"/>
            <w:vAlign w:val="center"/>
          </w:tcPr>
          <w:p>
            <w:pPr>
              <w:pStyle w:val="34"/>
              <w:ind w:right="439"/>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传真</w:t>
            </w:r>
          </w:p>
        </w:tc>
        <w:tc>
          <w:tcPr>
            <w:tcW w:w="730" w:type="pct"/>
            <w:gridSpan w:val="2"/>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30" w:type="pct"/>
            <w:gridSpan w:val="2"/>
            <w:vAlign w:val="center"/>
          </w:tcPr>
          <w:p>
            <w:pPr>
              <w:pStyle w:val="34"/>
              <w:ind w:right="44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邮编</w:t>
            </w:r>
          </w:p>
        </w:tc>
        <w:tc>
          <w:tcPr>
            <w:tcW w:w="736" w:type="pct"/>
            <w:gridSpan w:val="2"/>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376" w:type="pct"/>
            <w:vAlign w:val="center"/>
          </w:tcPr>
          <w:p>
            <w:pPr>
              <w:pStyle w:val="34"/>
              <w:spacing w:line="370" w:lineRule="exact"/>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3623" w:type="pct"/>
            <w:gridSpan w:val="9"/>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宁国市中溪镇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426" w:type="pct"/>
            <w:gridSpan w:val="3"/>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改扩建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技改□</w:t>
            </w:r>
          </w:p>
        </w:tc>
        <w:tc>
          <w:tcPr>
            <w:tcW w:w="970" w:type="pct"/>
            <w:gridSpan w:val="3"/>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行业类别</w:t>
            </w:r>
          </w:p>
        </w:tc>
        <w:tc>
          <w:tcPr>
            <w:tcW w:w="1225" w:type="pct"/>
            <w:gridSpan w:val="3"/>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水利128河湖整治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376" w:type="pct"/>
            <w:vAlign w:val="center"/>
          </w:tcPr>
          <w:p>
            <w:pPr>
              <w:pStyle w:val="34"/>
              <w:spacing w:line="376" w:lineRule="exact"/>
              <w:jc w:val="center"/>
              <w:rPr>
                <w:rFonts w:hint="default" w:ascii="Times New Roman" w:hAnsi="Times New Roman" w:eastAsia="宋体" w:cs="Times New Roman"/>
              </w:rPr>
            </w:pPr>
            <w:r>
              <w:rPr>
                <w:rFonts w:hint="default" w:ascii="Times New Roman" w:hAnsi="Times New Roman" w:eastAsia="宋体" w:cs="Times New Roman"/>
              </w:rPr>
              <w:t>环境影响报告表名称</w:t>
            </w:r>
          </w:p>
        </w:tc>
        <w:tc>
          <w:tcPr>
            <w:tcW w:w="3623" w:type="pct"/>
            <w:gridSpan w:val="9"/>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东津河石口至沙埠段河道治理工程项目建设项目环境影响报告表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376" w:type="pct"/>
            <w:vAlign w:val="center"/>
          </w:tcPr>
          <w:p>
            <w:pPr>
              <w:pStyle w:val="34"/>
              <w:spacing w:line="370" w:lineRule="exact"/>
              <w:jc w:val="center"/>
              <w:rPr>
                <w:rFonts w:hint="default" w:ascii="Times New Roman" w:hAnsi="Times New Roman" w:eastAsia="宋体" w:cs="Times New Roman"/>
              </w:rPr>
            </w:pPr>
            <w:r>
              <w:rPr>
                <w:rFonts w:hint="default" w:ascii="Times New Roman" w:hAnsi="Times New Roman" w:eastAsia="宋体" w:cs="Times New Roman"/>
              </w:rPr>
              <w:t>环境影响评价单位</w:t>
            </w:r>
          </w:p>
        </w:tc>
        <w:tc>
          <w:tcPr>
            <w:tcW w:w="3623" w:type="pct"/>
            <w:gridSpan w:val="9"/>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合肥金皓环境工程</w:t>
            </w:r>
            <w:r>
              <w:rPr>
                <w:rFonts w:hint="default" w:ascii="Times New Roman" w:hAnsi="Times New Roman" w:eastAsia="宋体" w:cs="Times New Roman"/>
                <w:sz w:val="21"/>
                <w:szCs w:val="21"/>
              </w:rPr>
              <w:t>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初步设计单位</w:t>
            </w:r>
          </w:p>
        </w:tc>
        <w:tc>
          <w:tcPr>
            <w:tcW w:w="3623" w:type="pct"/>
            <w:gridSpan w:val="9"/>
            <w:vAlign w:val="center"/>
          </w:tcPr>
          <w:p>
            <w:pPr>
              <w:pStyle w:val="34"/>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黄河勘测规划设计研究院有限公司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376" w:type="pct"/>
            <w:vAlign w:val="center"/>
          </w:tcPr>
          <w:p>
            <w:pPr>
              <w:pStyle w:val="34"/>
              <w:spacing w:line="376" w:lineRule="exact"/>
              <w:jc w:val="center"/>
              <w:rPr>
                <w:rFonts w:hint="default" w:ascii="Times New Roman" w:hAnsi="Times New Roman" w:eastAsia="宋体" w:cs="Times New Roman"/>
              </w:rPr>
            </w:pPr>
            <w:r>
              <w:rPr>
                <w:rFonts w:hint="default" w:ascii="Times New Roman" w:hAnsi="Times New Roman" w:eastAsia="宋体" w:cs="Times New Roman"/>
              </w:rPr>
              <w:t>环境影响评价审批部门</w:t>
            </w:r>
          </w:p>
        </w:tc>
        <w:tc>
          <w:tcPr>
            <w:tcW w:w="869" w:type="pct"/>
            <w:vAlign w:val="center"/>
          </w:tcPr>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宣城市</w:t>
            </w:r>
            <w:r>
              <w:rPr>
                <w:rFonts w:hint="default" w:ascii="Times New Roman" w:hAnsi="Times New Roman" w:eastAsia="宋体" w:cs="Times New Roman"/>
                <w:sz w:val="21"/>
                <w:szCs w:val="21"/>
              </w:rPr>
              <w:t>宁国市</w:t>
            </w:r>
            <w:r>
              <w:rPr>
                <w:rFonts w:hint="default" w:ascii="Times New Roman" w:hAnsi="Times New Roman" w:eastAsia="宋体" w:cs="Times New Roman"/>
                <w:sz w:val="21"/>
                <w:szCs w:val="21"/>
                <w:lang w:val="en-US" w:eastAsia="zh-CN"/>
              </w:rPr>
              <w:t>生态环境分</w:t>
            </w:r>
            <w:r>
              <w:rPr>
                <w:rFonts w:hint="default" w:ascii="Times New Roman" w:hAnsi="Times New Roman" w:eastAsia="宋体" w:cs="Times New Roman"/>
                <w:sz w:val="21"/>
                <w:szCs w:val="21"/>
              </w:rPr>
              <w:t>局</w:t>
            </w:r>
          </w:p>
        </w:tc>
        <w:tc>
          <w:tcPr>
            <w:tcW w:w="557" w:type="pct"/>
            <w:gridSpan w:val="2"/>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文号</w:t>
            </w:r>
          </w:p>
        </w:tc>
        <w:tc>
          <w:tcPr>
            <w:tcW w:w="730" w:type="pct"/>
            <w:gridSpan w:val="2"/>
            <w:vAlign w:val="center"/>
          </w:tcPr>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宁环审批[2</w:t>
            </w:r>
            <w:r>
              <w:rPr>
                <w:rFonts w:hint="default" w:ascii="Times New Roman" w:hAnsi="Times New Roman" w:eastAsia="宋体" w:cs="Times New Roman"/>
                <w:color w:val="auto"/>
                <w:sz w:val="21"/>
                <w:szCs w:val="21"/>
                <w:lang w:val="en-US" w:eastAsia="zh-CN"/>
              </w:rPr>
              <w:t>022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37</w:t>
            </w:r>
            <w:r>
              <w:rPr>
                <w:rFonts w:hint="default" w:ascii="Times New Roman" w:hAnsi="Times New Roman" w:eastAsia="宋体" w:cs="Times New Roman"/>
                <w:color w:val="auto"/>
                <w:sz w:val="21"/>
                <w:szCs w:val="21"/>
              </w:rPr>
              <w:t>号</w:t>
            </w:r>
          </w:p>
        </w:tc>
        <w:tc>
          <w:tcPr>
            <w:tcW w:w="730" w:type="pct"/>
            <w:gridSpan w:val="2"/>
            <w:vAlign w:val="center"/>
          </w:tcPr>
          <w:p>
            <w:pPr>
              <w:pStyle w:val="34"/>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时间</w:t>
            </w:r>
          </w:p>
        </w:tc>
        <w:tc>
          <w:tcPr>
            <w:tcW w:w="736" w:type="pct"/>
            <w:gridSpan w:val="2"/>
            <w:vAlign w:val="center"/>
          </w:tcPr>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初步设计审批部门</w:t>
            </w:r>
          </w:p>
        </w:tc>
        <w:tc>
          <w:tcPr>
            <w:tcW w:w="869" w:type="pct"/>
            <w:vAlign w:val="center"/>
          </w:tcPr>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安徽省水利厅</w:t>
            </w:r>
          </w:p>
        </w:tc>
        <w:tc>
          <w:tcPr>
            <w:tcW w:w="557" w:type="pct"/>
            <w:gridSpan w:val="2"/>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文号</w:t>
            </w:r>
          </w:p>
        </w:tc>
        <w:tc>
          <w:tcPr>
            <w:tcW w:w="730" w:type="pct"/>
            <w:gridSpan w:val="2"/>
            <w:vAlign w:val="center"/>
          </w:tcPr>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皖水规计函</w:t>
            </w:r>
          </w:p>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403</w:t>
            </w:r>
            <w:r>
              <w:rPr>
                <w:rFonts w:hint="default" w:ascii="Times New Roman" w:hAnsi="Times New Roman" w:eastAsia="宋体" w:cs="Times New Roman"/>
                <w:sz w:val="21"/>
                <w:szCs w:val="21"/>
              </w:rPr>
              <w:t>号</w:t>
            </w:r>
          </w:p>
        </w:tc>
        <w:tc>
          <w:tcPr>
            <w:tcW w:w="730" w:type="pct"/>
            <w:gridSpan w:val="2"/>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时间</w:t>
            </w:r>
          </w:p>
        </w:tc>
        <w:tc>
          <w:tcPr>
            <w:tcW w:w="736" w:type="pct"/>
            <w:gridSpan w:val="2"/>
            <w:vAlign w:val="center"/>
          </w:tcPr>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76" w:type="pct"/>
            <w:vAlign w:val="center"/>
          </w:tcPr>
          <w:p>
            <w:pPr>
              <w:pStyle w:val="34"/>
              <w:spacing w:line="375" w:lineRule="exact"/>
              <w:jc w:val="center"/>
              <w:rPr>
                <w:rFonts w:hint="default" w:ascii="Times New Roman" w:hAnsi="Times New Roman" w:eastAsia="宋体" w:cs="Times New Roman"/>
              </w:rPr>
            </w:pPr>
            <w:r>
              <w:rPr>
                <w:rFonts w:hint="default" w:ascii="Times New Roman" w:hAnsi="Times New Roman" w:eastAsia="宋体" w:cs="Times New Roman"/>
              </w:rPr>
              <w:t>环境保护设施设计单位</w:t>
            </w:r>
          </w:p>
        </w:tc>
        <w:tc>
          <w:tcPr>
            <w:tcW w:w="3623" w:type="pct"/>
            <w:gridSpan w:val="9"/>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宁国市水利局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环境保护设施施工单位</w:t>
            </w:r>
          </w:p>
        </w:tc>
        <w:tc>
          <w:tcPr>
            <w:tcW w:w="3623" w:type="pct"/>
            <w:gridSpan w:val="9"/>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宁国市水利局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376" w:type="pct"/>
            <w:vAlign w:val="center"/>
          </w:tcPr>
          <w:p>
            <w:pPr>
              <w:pStyle w:val="34"/>
              <w:spacing w:line="371" w:lineRule="exact"/>
              <w:jc w:val="center"/>
              <w:rPr>
                <w:rFonts w:hint="default" w:ascii="Times New Roman" w:hAnsi="Times New Roman" w:eastAsia="宋体" w:cs="Times New Roman"/>
              </w:rPr>
            </w:pPr>
            <w:r>
              <w:rPr>
                <w:rFonts w:hint="default" w:ascii="Times New Roman" w:hAnsi="Times New Roman" w:eastAsia="宋体" w:cs="Times New Roman"/>
              </w:rPr>
              <w:t>环境保护设施监测单位</w:t>
            </w:r>
          </w:p>
        </w:tc>
        <w:tc>
          <w:tcPr>
            <w:tcW w:w="3623" w:type="pct"/>
            <w:gridSpan w:val="9"/>
            <w:vAlign w:val="center"/>
          </w:tcPr>
          <w:p>
            <w:pPr>
              <w:pStyle w:val="34"/>
              <w:jc w:val="center"/>
              <w:rPr>
                <w:rFonts w:hint="default" w:ascii="Times New Roman" w:hAnsi="Times New Roman" w:eastAsia="宋体" w:cs="Times New Roman"/>
                <w:sz w:val="20"/>
              </w:rPr>
            </w:pPr>
            <w:r>
              <w:rPr>
                <w:rFonts w:hint="default" w:ascii="Times New Roman" w:hAnsi="Times New Roman" w:eastAsia="宋体" w:cs="Times New Roman"/>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6" w:type="pct"/>
            <w:vAlign w:val="center"/>
          </w:tcPr>
          <w:p>
            <w:pPr>
              <w:pStyle w:val="34"/>
              <w:spacing w:line="298" w:lineRule="exact"/>
              <w:jc w:val="center"/>
              <w:rPr>
                <w:rFonts w:hint="default" w:ascii="Times New Roman" w:hAnsi="Times New Roman" w:eastAsia="宋体" w:cs="Times New Roman"/>
              </w:rPr>
            </w:pPr>
            <w:r>
              <w:rPr>
                <w:rFonts w:hint="default" w:ascii="Times New Roman" w:hAnsi="Times New Roman" w:eastAsia="宋体" w:cs="Times New Roman"/>
              </w:rPr>
              <w:t>投资总概算</w:t>
            </w:r>
          </w:p>
          <w:p>
            <w:pPr>
              <w:pStyle w:val="34"/>
              <w:spacing w:line="298" w:lineRule="exact"/>
              <w:jc w:val="center"/>
              <w:rPr>
                <w:rFonts w:hint="default" w:ascii="Times New Roman" w:hAnsi="Times New Roman" w:eastAsia="宋体" w:cs="Times New Roman"/>
              </w:rPr>
            </w:pPr>
            <w:r>
              <w:rPr>
                <w:rFonts w:hint="default" w:ascii="Times New Roman" w:hAnsi="Times New Roman" w:eastAsia="宋体" w:cs="Times New Roman"/>
              </w:rPr>
              <w:t>(万元)</w:t>
            </w:r>
          </w:p>
        </w:tc>
        <w:tc>
          <w:tcPr>
            <w:tcW w:w="869" w:type="pct"/>
            <w:vAlign w:val="center"/>
          </w:tcPr>
          <w:p>
            <w:pPr>
              <w:pStyle w:val="34"/>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default" w:ascii="Times New Roman" w:hAnsi="Times New Roman" w:eastAsia="宋体" w:cs="Times New Roman"/>
                <w:color w:val="000000" w:themeColor="text1"/>
                <w:sz w:val="20"/>
                <w:lang w:val="en-US" w:eastAsia="zh-CN"/>
                <w14:textFill>
                  <w14:solidFill>
                    <w14:schemeClr w14:val="tx1"/>
                  </w14:solidFill>
                </w14:textFill>
              </w:rPr>
              <w:t>7098.50</w:t>
            </w:r>
          </w:p>
        </w:tc>
        <w:tc>
          <w:tcPr>
            <w:tcW w:w="830" w:type="pct"/>
            <w:gridSpan w:val="3"/>
            <w:vAlign w:val="center"/>
          </w:tcPr>
          <w:p>
            <w:pPr>
              <w:pStyle w:val="34"/>
              <w:ind w:right="3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其中：环境保护投资(万元)</w:t>
            </w:r>
          </w:p>
        </w:tc>
        <w:tc>
          <w:tcPr>
            <w:tcW w:w="697" w:type="pct"/>
            <w:gridSpan w:val="2"/>
            <w:vAlign w:val="center"/>
          </w:tcPr>
          <w:p>
            <w:pPr>
              <w:pStyle w:val="34"/>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default" w:ascii="Times New Roman" w:hAnsi="Times New Roman" w:eastAsia="宋体" w:cs="Times New Roman"/>
                <w:color w:val="000000" w:themeColor="text1"/>
                <w:sz w:val="20"/>
                <w:lang w:val="en-US" w:eastAsia="zh-CN"/>
                <w14:textFill>
                  <w14:solidFill>
                    <w14:schemeClr w14:val="tx1"/>
                  </w14:solidFill>
                </w14:textFill>
              </w:rPr>
              <w:t>85.69</w:t>
            </w:r>
          </w:p>
        </w:tc>
        <w:tc>
          <w:tcPr>
            <w:tcW w:w="730" w:type="pct"/>
            <w:gridSpan w:val="2"/>
            <w:vMerge w:val="restart"/>
            <w:vAlign w:val="center"/>
          </w:tcPr>
          <w:p>
            <w:pPr>
              <w:pStyle w:val="34"/>
              <w:ind w:right="73"/>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实际环境保护投资占总投资比例</w:t>
            </w:r>
          </w:p>
        </w:tc>
        <w:tc>
          <w:tcPr>
            <w:tcW w:w="495" w:type="pct"/>
            <w:vAlign w:val="center"/>
          </w:tcPr>
          <w:p>
            <w:pPr>
              <w:pStyle w:val="34"/>
              <w:jc w:val="center"/>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lang w:val="en-US" w:eastAsia="zh-CN"/>
                <w14:textFill>
                  <w14:solidFill>
                    <w14:schemeClr w14:val="tx1"/>
                  </w14:solidFill>
                </w14:textFill>
              </w:rPr>
              <w:t>1.21</w:t>
            </w:r>
            <w:r>
              <w:rPr>
                <w:rFonts w:hint="default" w:ascii="Times New Roman" w:hAnsi="Times New Roman" w:eastAsia="宋体" w:cs="Times New Roman"/>
                <w:color w:val="000000" w:themeColor="text1"/>
                <w:sz w:val="20"/>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6" w:type="pct"/>
            <w:vAlign w:val="center"/>
          </w:tcPr>
          <w:p>
            <w:pPr>
              <w:pStyle w:val="34"/>
              <w:spacing w:line="298" w:lineRule="exact"/>
              <w:jc w:val="center"/>
              <w:rPr>
                <w:rFonts w:hint="default" w:ascii="Times New Roman" w:hAnsi="Times New Roman" w:eastAsia="宋体" w:cs="Times New Roman"/>
              </w:rPr>
            </w:pPr>
            <w:r>
              <w:rPr>
                <w:rFonts w:hint="default" w:ascii="Times New Roman" w:hAnsi="Times New Roman" w:eastAsia="宋体" w:cs="Times New Roman"/>
              </w:rPr>
              <w:t>实际总投资</w:t>
            </w:r>
          </w:p>
          <w:p>
            <w:pPr>
              <w:pStyle w:val="34"/>
              <w:spacing w:line="306" w:lineRule="exact"/>
              <w:jc w:val="center"/>
              <w:rPr>
                <w:rFonts w:hint="default" w:ascii="Times New Roman" w:hAnsi="Times New Roman" w:eastAsia="宋体" w:cs="Times New Roman"/>
              </w:rPr>
            </w:pPr>
            <w:r>
              <w:rPr>
                <w:rFonts w:hint="default" w:ascii="Times New Roman" w:hAnsi="Times New Roman" w:eastAsia="宋体" w:cs="Times New Roman"/>
              </w:rPr>
              <w:t>(万元)</w:t>
            </w:r>
          </w:p>
        </w:tc>
        <w:tc>
          <w:tcPr>
            <w:tcW w:w="869" w:type="pct"/>
            <w:vAlign w:val="center"/>
          </w:tcPr>
          <w:p>
            <w:pPr>
              <w:pStyle w:val="34"/>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eastAsia" w:ascii="Times New Roman" w:hAnsi="Times New Roman" w:eastAsia="宋体" w:cs="Times New Roman"/>
                <w:color w:val="000000" w:themeColor="text1"/>
                <w:sz w:val="20"/>
                <w:lang w:val="en-US" w:eastAsia="zh-CN"/>
                <w14:textFill>
                  <w14:solidFill>
                    <w14:schemeClr w14:val="tx1"/>
                  </w14:solidFill>
                </w14:textFill>
              </w:rPr>
              <w:t>6960</w:t>
            </w:r>
          </w:p>
        </w:tc>
        <w:tc>
          <w:tcPr>
            <w:tcW w:w="830" w:type="pct"/>
            <w:gridSpan w:val="3"/>
            <w:vAlign w:val="center"/>
          </w:tcPr>
          <w:p>
            <w:pPr>
              <w:pStyle w:val="34"/>
              <w:ind w:right="3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其中：环境保护投资(万元)</w:t>
            </w:r>
          </w:p>
        </w:tc>
        <w:tc>
          <w:tcPr>
            <w:tcW w:w="697" w:type="pct"/>
            <w:gridSpan w:val="2"/>
            <w:vAlign w:val="center"/>
          </w:tcPr>
          <w:p>
            <w:pPr>
              <w:pStyle w:val="34"/>
              <w:jc w:val="center"/>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eastAsia" w:ascii="Times New Roman" w:hAnsi="Times New Roman" w:eastAsia="宋体" w:cs="Times New Roman"/>
                <w:color w:val="000000" w:themeColor="text1"/>
                <w:sz w:val="20"/>
                <w:lang w:val="en-US" w:eastAsia="zh-CN"/>
                <w14:textFill>
                  <w14:solidFill>
                    <w14:schemeClr w14:val="tx1"/>
                  </w14:solidFill>
                </w14:textFill>
              </w:rPr>
              <w:t>55</w:t>
            </w:r>
          </w:p>
        </w:tc>
        <w:tc>
          <w:tcPr>
            <w:tcW w:w="730" w:type="pct"/>
            <w:gridSpan w:val="2"/>
            <w:vMerge w:val="continue"/>
            <w:tcBorders>
              <w:top w:val="nil"/>
            </w:tcBorders>
            <w:vAlign w:val="center"/>
          </w:tcPr>
          <w:p>
            <w:pPr>
              <w:jc w:val="center"/>
              <w:rPr>
                <w:rFonts w:hint="default" w:ascii="Times New Roman" w:hAnsi="Times New Roman" w:eastAsia="宋体" w:cs="Times New Roman"/>
                <w:color w:val="000000" w:themeColor="text1"/>
                <w:sz w:val="2"/>
                <w:szCs w:val="2"/>
                <w14:textFill>
                  <w14:solidFill>
                    <w14:schemeClr w14:val="tx1"/>
                  </w14:solidFill>
                </w14:textFill>
              </w:rPr>
            </w:pPr>
          </w:p>
        </w:tc>
        <w:tc>
          <w:tcPr>
            <w:tcW w:w="495" w:type="pct"/>
            <w:vAlign w:val="center"/>
          </w:tcPr>
          <w:p>
            <w:pPr>
              <w:pStyle w:val="34"/>
              <w:jc w:val="center"/>
              <w:rPr>
                <w:rFonts w:hint="default" w:ascii="Times New Roman" w:hAnsi="Times New Roman" w:eastAsia="宋体" w:cs="Times New Roman"/>
                <w:color w:val="000000" w:themeColor="text1"/>
                <w:sz w:val="20"/>
                <w14:textFill>
                  <w14:solidFill>
                    <w14:schemeClr w14:val="tx1"/>
                  </w14:solidFill>
                </w14:textFill>
              </w:rPr>
            </w:pPr>
            <w:r>
              <w:rPr>
                <w:rFonts w:hint="eastAsia" w:ascii="Times New Roman" w:hAnsi="Times New Roman" w:eastAsia="宋体" w:cs="Times New Roman"/>
                <w:color w:val="000000" w:themeColor="text1"/>
                <w:sz w:val="20"/>
                <w:lang w:val="en-US" w:eastAsia="zh-CN"/>
                <w14:textFill>
                  <w14:solidFill>
                    <w14:schemeClr w14:val="tx1"/>
                  </w14:solidFill>
                </w14:textFill>
              </w:rPr>
              <w:t>0.79</w:t>
            </w:r>
            <w:r>
              <w:rPr>
                <w:rFonts w:hint="default" w:ascii="Times New Roman" w:hAnsi="Times New Roman" w:eastAsia="宋体" w:cs="Times New Roman"/>
                <w:color w:val="000000" w:themeColor="text1"/>
                <w:sz w:val="20"/>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376" w:type="pct"/>
            <w:vAlign w:val="center"/>
          </w:tcPr>
          <w:p>
            <w:pPr>
              <w:pStyle w:val="34"/>
              <w:spacing w:line="443" w:lineRule="exact"/>
              <w:jc w:val="center"/>
              <w:rPr>
                <w:rFonts w:hint="default" w:ascii="Times New Roman" w:hAnsi="Times New Roman" w:eastAsia="宋体" w:cs="Times New Roman"/>
              </w:rPr>
            </w:pPr>
            <w:r>
              <w:rPr>
                <w:rFonts w:hint="default" w:ascii="Times New Roman" w:hAnsi="Times New Roman" w:eastAsia="宋体" w:cs="Times New Roman"/>
              </w:rPr>
              <w:t>设计规模</w:t>
            </w:r>
          </w:p>
        </w:tc>
        <w:tc>
          <w:tcPr>
            <w:tcW w:w="869" w:type="pct"/>
            <w:vAlign w:val="center"/>
          </w:tcPr>
          <w:p>
            <w:pPr>
              <w:pStyle w:val="34"/>
              <w:keepNext w:val="0"/>
              <w:keepLines w:val="0"/>
              <w:pageBreakBefore w:val="0"/>
              <w:widowControl w:val="0"/>
              <w:kinsoku/>
              <w:wordWrap/>
              <w:overflowPunct/>
              <w:topLinePunct w:val="0"/>
              <w:autoSpaceDE/>
              <w:autoSpaceDN/>
              <w:bidi w:val="0"/>
              <w:adjustRightInd/>
              <w:snapToGrid/>
              <w:spacing w:line="260" w:lineRule="exact"/>
              <w:ind w:right="74"/>
              <w:jc w:val="center"/>
              <w:textAlignment w:val="auto"/>
              <w:rPr>
                <w:rFonts w:hint="default" w:ascii="Times New Roman" w:hAnsi="Times New Roman" w:eastAsia="宋体" w:cs="Times New Roman"/>
                <w:color w:val="000000" w:themeColor="text1"/>
                <w:sz w:val="20"/>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治理长度8.3km</w:t>
            </w:r>
          </w:p>
        </w:tc>
        <w:tc>
          <w:tcPr>
            <w:tcW w:w="1528" w:type="pct"/>
            <w:gridSpan w:val="5"/>
            <w:vAlign w:val="center"/>
          </w:tcPr>
          <w:p>
            <w:pPr>
              <w:pStyle w:val="34"/>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建设项目开工日期</w:t>
            </w:r>
          </w:p>
        </w:tc>
        <w:tc>
          <w:tcPr>
            <w:tcW w:w="1225" w:type="pct"/>
            <w:gridSpan w:val="3"/>
            <w:vAlign w:val="center"/>
          </w:tcPr>
          <w:p>
            <w:pPr>
              <w:pStyle w:val="34"/>
              <w:jc w:val="center"/>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t>20</w:t>
            </w:r>
            <w:r>
              <w:rPr>
                <w:rFonts w:hint="default" w:ascii="Times New Roman" w:hAnsi="Times New Roman" w:eastAsia="宋体" w:cs="Times New Roman"/>
                <w:color w:val="000000" w:themeColor="text1"/>
                <w:sz w:val="20"/>
                <w:lang w:val="en-US" w:eastAsia="zh-CN"/>
                <w14:textFill>
                  <w14:solidFill>
                    <w14:schemeClr w14:val="tx1"/>
                  </w14:solidFill>
                </w14:textFill>
              </w:rPr>
              <w:t>2</w:t>
            </w:r>
            <w:r>
              <w:rPr>
                <w:rFonts w:hint="eastAsia" w:ascii="Times New Roman" w:hAnsi="Times New Roman" w:eastAsia="宋体" w:cs="Times New Roman"/>
                <w:color w:val="000000" w:themeColor="text1"/>
                <w:sz w:val="20"/>
                <w:lang w:val="en-US" w:eastAsia="zh-CN"/>
                <w14:textFill>
                  <w14:solidFill>
                    <w14:schemeClr w14:val="tx1"/>
                  </w14:solidFill>
                </w14:textFill>
              </w:rPr>
              <w:t>2</w:t>
            </w:r>
            <w:r>
              <w:rPr>
                <w:rFonts w:hint="default" w:ascii="Times New Roman" w:hAnsi="Times New Roman" w:eastAsia="宋体" w:cs="Times New Roman"/>
                <w:color w:val="000000" w:themeColor="text1"/>
                <w:sz w:val="20"/>
                <w14:textFill>
                  <w14:solidFill>
                    <w14:schemeClr w14:val="tx1"/>
                  </w14:solidFill>
                </w14:textFill>
              </w:rPr>
              <w:t>年</w:t>
            </w:r>
            <w:r>
              <w:rPr>
                <w:rFonts w:hint="eastAsia" w:ascii="Times New Roman" w:hAnsi="Times New Roman" w:eastAsia="宋体" w:cs="Times New Roman"/>
                <w:color w:val="000000" w:themeColor="text1"/>
                <w:sz w:val="20"/>
                <w:lang w:val="en-US" w:eastAsia="zh-CN"/>
                <w14:textFill>
                  <w14:solidFill>
                    <w14:schemeClr w14:val="tx1"/>
                  </w14:solidFill>
                </w14:textFill>
              </w:rPr>
              <w:t>4</w:t>
            </w:r>
            <w:r>
              <w:rPr>
                <w:rFonts w:hint="default" w:ascii="Times New Roman" w:hAnsi="Times New Roman" w:eastAsia="宋体" w:cs="Times New Roman"/>
                <w:color w:val="000000" w:themeColor="text1"/>
                <w:sz w:val="20"/>
                <w14:textFill>
                  <w14:solidFill>
                    <w14:schemeClr w14:val="tx1"/>
                  </w14:solidFill>
                </w14:textFill>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376" w:type="pct"/>
            <w:vAlign w:val="center"/>
          </w:tcPr>
          <w:p>
            <w:pPr>
              <w:pStyle w:val="34"/>
              <w:spacing w:line="443" w:lineRule="exact"/>
              <w:jc w:val="center"/>
              <w:rPr>
                <w:rFonts w:hint="default" w:ascii="Times New Roman" w:hAnsi="Times New Roman" w:eastAsia="宋体" w:cs="Times New Roman"/>
              </w:rPr>
            </w:pPr>
            <w:r>
              <w:rPr>
                <w:rFonts w:hint="default" w:ascii="Times New Roman" w:hAnsi="Times New Roman" w:eastAsia="宋体" w:cs="Times New Roman"/>
              </w:rPr>
              <w:t>实际规模</w:t>
            </w:r>
          </w:p>
        </w:tc>
        <w:tc>
          <w:tcPr>
            <w:tcW w:w="869" w:type="pct"/>
            <w:vAlign w:val="center"/>
          </w:tcPr>
          <w:p>
            <w:pPr>
              <w:pStyle w:val="34"/>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sz w:val="20"/>
              </w:rPr>
            </w:pPr>
            <w:r>
              <w:rPr>
                <w:rFonts w:hint="default" w:ascii="Times New Roman" w:hAnsi="Times New Roman" w:eastAsia="宋体" w:cs="Times New Roman"/>
                <w:sz w:val="21"/>
                <w:szCs w:val="21"/>
                <w:lang w:val="en-US" w:eastAsia="zh-CN"/>
              </w:rPr>
              <w:t>治理长度8.3km</w:t>
            </w:r>
          </w:p>
        </w:tc>
        <w:tc>
          <w:tcPr>
            <w:tcW w:w="1528" w:type="pct"/>
            <w:gridSpan w:val="5"/>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投入试运行日期</w:t>
            </w:r>
          </w:p>
        </w:tc>
        <w:tc>
          <w:tcPr>
            <w:tcW w:w="1225" w:type="pct"/>
            <w:gridSpan w:val="3"/>
            <w:vAlign w:val="center"/>
          </w:tcPr>
          <w:p>
            <w:pPr>
              <w:pStyle w:val="34"/>
              <w:jc w:val="center"/>
              <w:rPr>
                <w:rFonts w:hint="default" w:ascii="Times New Roman" w:hAnsi="Times New Roman" w:eastAsia="宋体" w:cs="Times New Roman"/>
                <w:sz w:val="20"/>
              </w:rPr>
            </w:pPr>
            <w:r>
              <w:rPr>
                <w:rFonts w:hint="default" w:ascii="Times New Roman" w:hAnsi="Times New Roman" w:eastAsia="宋体" w:cs="Times New Roman"/>
                <w:sz w:val="20"/>
              </w:rPr>
              <w:t>20</w:t>
            </w:r>
            <w:r>
              <w:rPr>
                <w:rFonts w:hint="default" w:ascii="Times New Roman" w:hAnsi="Times New Roman" w:eastAsia="宋体" w:cs="Times New Roman"/>
                <w:sz w:val="20"/>
                <w:lang w:val="en-US" w:eastAsia="zh-CN"/>
              </w:rPr>
              <w:t>22</w:t>
            </w:r>
            <w:r>
              <w:rPr>
                <w:rFonts w:hint="default" w:ascii="Times New Roman" w:hAnsi="Times New Roman" w:eastAsia="宋体" w:cs="Times New Roman"/>
                <w:sz w:val="20"/>
              </w:rPr>
              <w:t>年</w:t>
            </w:r>
            <w:r>
              <w:rPr>
                <w:rFonts w:hint="eastAsia" w:ascii="Times New Roman" w:hAnsi="Times New Roman" w:eastAsia="宋体" w:cs="Times New Roman"/>
                <w:sz w:val="20"/>
                <w:lang w:val="en-US" w:eastAsia="zh-CN"/>
              </w:rPr>
              <w:t>9</w:t>
            </w:r>
            <w:r>
              <w:rPr>
                <w:rFonts w:hint="default" w:ascii="Times New Roman" w:hAnsi="Times New Roman" w:eastAsia="宋体" w:cs="Times New Roman"/>
                <w:sz w:val="20"/>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6" w:type="pct"/>
            <w:vAlign w:val="center"/>
          </w:tcPr>
          <w:p>
            <w:pPr>
              <w:pStyle w:val="34"/>
              <w:spacing w:line="380" w:lineRule="exact"/>
              <w:jc w:val="center"/>
              <w:rPr>
                <w:rFonts w:hint="default" w:ascii="Times New Roman" w:hAnsi="Times New Roman" w:eastAsia="宋体" w:cs="Times New Roman"/>
              </w:rPr>
            </w:pPr>
            <w:r>
              <w:rPr>
                <w:rFonts w:hint="default" w:ascii="Times New Roman" w:hAnsi="Times New Roman" w:eastAsia="宋体" w:cs="Times New Roman"/>
              </w:rPr>
              <w:t>调查经费</w:t>
            </w:r>
          </w:p>
        </w:tc>
        <w:tc>
          <w:tcPr>
            <w:tcW w:w="3623" w:type="pct"/>
            <w:gridSpan w:val="9"/>
            <w:vAlign w:val="center"/>
          </w:tcPr>
          <w:p>
            <w:pPr>
              <w:pStyle w:val="34"/>
              <w:jc w:val="center"/>
              <w:rPr>
                <w:rFonts w:hint="default" w:ascii="Times New Roman" w:hAnsi="Times New Roman" w:eastAsia="宋体" w:cs="Times New Roman"/>
                <w:sz w:val="20"/>
              </w:rPr>
            </w:pPr>
            <w:r>
              <w:rPr>
                <w:rFonts w:hint="default" w:ascii="Times New Roman" w:hAnsi="Times New Roman" w:eastAsia="宋体" w:cs="Times New Roman"/>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4" w:hRule="atLeast"/>
        </w:trPr>
        <w:tc>
          <w:tcPr>
            <w:tcW w:w="1376" w:type="pct"/>
            <w:vAlign w:val="center"/>
          </w:tcPr>
          <w:p>
            <w:pPr>
              <w:pStyle w:val="34"/>
              <w:spacing w:line="422" w:lineRule="exact"/>
              <w:jc w:val="center"/>
              <w:rPr>
                <w:rFonts w:hint="default" w:ascii="Times New Roman" w:hAnsi="Times New Roman" w:eastAsia="宋体" w:cs="Times New Roman"/>
              </w:rPr>
            </w:pPr>
            <w:r>
              <w:rPr>
                <w:rFonts w:hint="default" w:ascii="Times New Roman" w:hAnsi="Times New Roman" w:eastAsia="宋体" w:cs="Times New Roman"/>
              </w:rPr>
              <w:t>项目建设过程简述</w:t>
            </w:r>
          </w:p>
          <w:p>
            <w:pPr>
              <w:pStyle w:val="34"/>
              <w:spacing w:line="422" w:lineRule="exact"/>
              <w:jc w:val="center"/>
              <w:rPr>
                <w:rFonts w:hint="default" w:ascii="Times New Roman" w:hAnsi="Times New Roman" w:eastAsia="宋体" w:cs="Times New Roman"/>
              </w:rPr>
            </w:pPr>
            <w:r>
              <w:rPr>
                <w:rFonts w:hint="default" w:ascii="Times New Roman" w:hAnsi="Times New Roman" w:eastAsia="宋体" w:cs="Times New Roman"/>
              </w:rPr>
              <w:t>（项目立项~试运行）</w:t>
            </w:r>
          </w:p>
        </w:tc>
        <w:tc>
          <w:tcPr>
            <w:tcW w:w="3623" w:type="pct"/>
            <w:gridSpan w:val="9"/>
            <w:vAlign w:val="center"/>
          </w:tcPr>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为解决宁国市东津河的防洪标准总体较低，基本为5年一遇，暴雨期间河道沿线薄弱段易淹的问题，宁国市水利局委托长江勘测规划设计研究院有限责任公司承担了东津河石口至沙埠段河道治理工程可行性研究工作。2020年7月完成了《东津河石口至沙埠段河道治理工程可行性研究报告》，2020年8月12日宁国市发展改革委员会以发改审批</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val="en-US" w:eastAsia="zh-CN"/>
              </w:rPr>
              <w:t>116号对东津河石口至沙埠段河道治理工程进行批复，同意东津河石口至沙埠段河道治理工程建设。2020年11月，宁国市水利局委托黄河勘测规划设计研究院有限公司编制《宁国市东津河石口至沙埠段河道治理工程初步设计报告》，2021年9月23日安徽省水利厅以皖水规计函</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val="en-US" w:eastAsia="zh-CN"/>
              </w:rPr>
              <w:t>2021</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val="en-US" w:eastAsia="zh-CN"/>
              </w:rPr>
              <w:t>403号对宁国市东津河石口至沙埠段河道治理工程初步设计进行批复。</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2022年1月15日宁国市水利局委托合肥金皓环境工程有限公司编制环境影响评价报告表，2022年4月该公司完成了《东津河石口至沙埠段河道治理工程环境影响报告表》。</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2022年4月22 日宣城市宁国市生态环境分局以宁环审批</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val="en-US" w:eastAsia="zh-CN"/>
              </w:rPr>
              <w:t>2022</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lang w:val="en-US" w:eastAsia="zh-CN"/>
              </w:rPr>
              <w:t>37号文同意此项目建设。</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本项目于2022年</w:t>
            </w:r>
            <w:r>
              <w:rPr>
                <w:rFonts w:hint="eastAsia" w:ascii="Times New Roman" w:hAnsi="Times New Roman" w:cs="Times New Roman"/>
                <w:sz w:val="24"/>
                <w:szCs w:val="24"/>
                <w:lang w:val="en-US" w:eastAsia="zh-CN"/>
              </w:rPr>
              <w:t>9</w:t>
            </w:r>
            <w:r>
              <w:rPr>
                <w:rFonts w:hint="default" w:ascii="Times New Roman" w:hAnsi="Times New Roman" w:cs="Times New Roman" w:eastAsiaTheme="minorEastAsia"/>
                <w:sz w:val="24"/>
                <w:szCs w:val="24"/>
                <w:lang w:val="en-US" w:eastAsia="zh-CN"/>
              </w:rPr>
              <w:t>月完成东津河石口至沙埠段河道治理工程</w:t>
            </w:r>
            <w:r>
              <w:rPr>
                <w:rFonts w:hint="eastAsia" w:ascii="Times New Roman" w:hAnsi="Times New Roman" w:cs="Times New Roman"/>
                <w:sz w:val="24"/>
                <w:szCs w:val="24"/>
                <w:lang w:val="en-US" w:eastAsia="zh-CN"/>
              </w:rPr>
              <w:t>建设</w:t>
            </w:r>
            <w:r>
              <w:rPr>
                <w:rFonts w:hint="default" w:ascii="Times New Roman" w:hAnsi="Times New Roman" w:cs="Times New Roman" w:eastAsiaTheme="minorEastAsia"/>
                <w:sz w:val="24"/>
                <w:szCs w:val="24"/>
                <w:lang w:val="en-US" w:eastAsia="zh-CN"/>
              </w:rPr>
              <w:t>。</w:t>
            </w:r>
          </w:p>
        </w:tc>
      </w:tr>
    </w:tbl>
    <w:p>
      <w:pPr>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color w:val="000000"/>
          <w:szCs w:val="21"/>
        </w:rPr>
        <w:br w:type="page"/>
      </w:r>
      <w:r>
        <w:rPr>
          <w:rFonts w:hint="default" w:ascii="Times New Roman" w:hAnsi="Times New Roman" w:eastAsia="宋体" w:cs="Times New Roman"/>
          <w:color w:val="000000"/>
          <w:szCs w:val="21"/>
          <w:lang w:val="en-US" w:eastAsia="zh-CN"/>
        </w:rPr>
        <w:t xml:space="preserve"> </w:t>
      </w:r>
    </w:p>
    <w:p>
      <w:pPr>
        <w:pStyle w:val="9"/>
        <w:tabs>
          <w:tab w:val="left" w:pos="788"/>
        </w:tabs>
        <w:spacing w:line="415" w:lineRule="exact"/>
        <w:ind w:right="275"/>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调查范围、因子、目标、重点</w:t>
      </w:r>
    </w:p>
    <w:tbl>
      <w:tblPr>
        <w:tblStyle w:val="20"/>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7"/>
        <w:gridCol w:w="7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453" w:type="pct"/>
            <w:vAlign w:val="center"/>
          </w:tcPr>
          <w:p>
            <w:pPr>
              <w:pStyle w:val="34"/>
              <w:spacing w:line="216" w:lineRule="auto"/>
              <w:jc w:val="center"/>
              <w:rPr>
                <w:rFonts w:hint="default" w:ascii="Times New Roman" w:hAnsi="Times New Roman" w:eastAsia="宋体" w:cs="Times New Roman"/>
              </w:rPr>
            </w:pPr>
            <w:r>
              <w:rPr>
                <w:rFonts w:hint="default" w:ascii="Times New Roman" w:hAnsi="Times New Roman" w:eastAsia="宋体" w:cs="Times New Roman"/>
              </w:rPr>
              <w:t>调查范围</w:t>
            </w:r>
          </w:p>
        </w:tc>
        <w:tc>
          <w:tcPr>
            <w:tcW w:w="4546" w:type="pct"/>
            <w:vAlign w:val="center"/>
          </w:tcPr>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 w:val="24"/>
                <w:szCs w:val="24"/>
                <w:lang w:val="en-US" w:eastAsia="zh-CN"/>
              </w:rPr>
              <w:t>项目为线性工程，整个项目穿越宁国市中溪镇。调查范围为：项目起点石口孚石坝（桩号17+900）至项目终点红桥村下游（桩号25+000）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本工程实际治理段总长</w:t>
            </w:r>
            <w:r>
              <w:rPr>
                <w:rFonts w:hint="eastAsia"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lang w:val="en-US" w:eastAsia="zh-CN"/>
              </w:rPr>
              <w:t>8.3km。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53" w:type="pct"/>
            <w:vAlign w:val="center"/>
          </w:tcPr>
          <w:p>
            <w:pPr>
              <w:pStyle w:val="34"/>
              <w:spacing w:line="216" w:lineRule="auto"/>
              <w:jc w:val="center"/>
              <w:rPr>
                <w:rFonts w:hint="default" w:ascii="Times New Roman" w:hAnsi="Times New Roman" w:eastAsia="宋体" w:cs="Times New Roman"/>
              </w:rPr>
            </w:pPr>
            <w:r>
              <w:rPr>
                <w:rFonts w:hint="default" w:ascii="Times New Roman" w:hAnsi="Times New Roman" w:eastAsia="宋体" w:cs="Times New Roman"/>
              </w:rPr>
              <w:t>调查因子</w:t>
            </w:r>
          </w:p>
        </w:tc>
        <w:tc>
          <w:tcPr>
            <w:tcW w:w="4546" w:type="pct"/>
            <w:vAlign w:val="center"/>
          </w:tcPr>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 w:val="24"/>
                <w:szCs w:val="24"/>
                <w:lang w:val="en-US" w:eastAsia="zh-CN"/>
              </w:rPr>
              <w:t>根据工程特点、影响区环境背景状况，结合工程环境影响的性状、范围和程度的识别和筛选，确定将水环境、生态环境、环境敏感区作为本项目环境影响调查的重点；水文情势、大气环境、声环境、固体废物、人群健康等作为一部调查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4" w:hRule="atLeast"/>
        </w:trPr>
        <w:tc>
          <w:tcPr>
            <w:tcW w:w="453" w:type="pct"/>
            <w:vAlign w:val="center"/>
          </w:tcPr>
          <w:p>
            <w:pPr>
              <w:pStyle w:val="34"/>
              <w:spacing w:line="216" w:lineRule="auto"/>
              <w:jc w:val="center"/>
              <w:rPr>
                <w:rFonts w:hint="default" w:ascii="Times New Roman" w:hAnsi="Times New Roman" w:eastAsia="宋体" w:cs="Times New Roman"/>
              </w:rPr>
            </w:pPr>
            <w:r>
              <w:rPr>
                <w:rFonts w:hint="default" w:ascii="Times New Roman" w:hAnsi="Times New Roman" w:eastAsia="宋体" w:cs="Times New Roman"/>
              </w:rPr>
              <w:t>环境敏感目标</w:t>
            </w:r>
          </w:p>
        </w:tc>
        <w:tc>
          <w:tcPr>
            <w:tcW w:w="4546" w:type="pct"/>
            <w:vAlign w:val="center"/>
          </w:tcPr>
          <w:p>
            <w:pPr>
              <w:spacing w:line="360" w:lineRule="auto"/>
              <w:ind w:firstLine="422" w:firstLineChars="20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eastAsia="宋体" w:cs="Times New Roman"/>
                <w:b/>
                <w:bCs/>
                <w:szCs w:val="21"/>
              </w:rPr>
              <w:t xml:space="preserve">表1-1 </w:t>
            </w:r>
            <w:r>
              <w:rPr>
                <w:rFonts w:hint="default" w:ascii="Times New Roman" w:hAnsi="Times New Roman" w:cs="Times New Roman"/>
                <w:b/>
                <w:color w:val="000000" w:themeColor="text1"/>
                <w:szCs w:val="21"/>
                <w14:textFill>
                  <w14:solidFill>
                    <w14:schemeClr w14:val="tx1"/>
                  </w14:solidFill>
                </w14:textFill>
              </w:rPr>
              <w:t>主要环境保护目标一览表</w:t>
            </w:r>
          </w:p>
          <w:tbl>
            <w:tblPr>
              <w:tblStyle w:val="21"/>
              <w:tblW w:w="75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22"/>
              <w:gridCol w:w="800"/>
              <w:gridCol w:w="1349"/>
              <w:gridCol w:w="1876"/>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543" w:type="pct"/>
                  <w:tcBorders>
                    <w:top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环境要素</w:t>
                  </w:r>
                </w:p>
              </w:tc>
              <w:tc>
                <w:tcPr>
                  <w:tcW w:w="677" w:type="pct"/>
                  <w:tcBorders>
                    <w:top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名称</w:t>
                  </w:r>
                </w:p>
              </w:tc>
              <w:tc>
                <w:tcPr>
                  <w:tcW w:w="530" w:type="pct"/>
                  <w:tcBorders>
                    <w:top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保护对象</w:t>
                  </w:r>
                </w:p>
              </w:tc>
              <w:tc>
                <w:tcPr>
                  <w:tcW w:w="894" w:type="pct"/>
                  <w:tcBorders>
                    <w:top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保护内容</w:t>
                  </w:r>
                </w:p>
              </w:tc>
              <w:tc>
                <w:tcPr>
                  <w:tcW w:w="1243" w:type="pct"/>
                  <w:tcBorders>
                    <w:top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环境功能区</w:t>
                  </w:r>
                </w:p>
              </w:tc>
              <w:tc>
                <w:tcPr>
                  <w:tcW w:w="1109" w:type="pct"/>
                  <w:tcBorders>
                    <w:top w:val="single" w:color="auto" w:sz="12" w:space="0"/>
                    <w:right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与项目的相对位置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543" w:type="pct"/>
                  <w:tcBorders>
                    <w:left w:val="single" w:color="auto" w:sz="4" w:space="0"/>
                  </w:tcBorders>
                  <w:vAlign w:val="center"/>
                </w:tcPr>
                <w:p>
                  <w:pPr>
                    <w:pStyle w:val="28"/>
                    <w:rPr>
                      <w:rFonts w:hint="default" w:ascii="Times New Roman" w:hAnsi="Times New Roman" w:cs="Times New Roman"/>
                      <w:szCs w:val="21"/>
                    </w:rPr>
                  </w:pPr>
                  <w:r>
                    <w:rPr>
                      <w:rFonts w:hint="default" w:ascii="Times New Roman" w:hAnsi="Times New Roman" w:cs="Times New Roman"/>
                      <w:szCs w:val="21"/>
                    </w:rPr>
                    <w:t>水环境</w:t>
                  </w:r>
                </w:p>
              </w:tc>
              <w:tc>
                <w:tcPr>
                  <w:tcW w:w="677"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东津</w:t>
                  </w:r>
                  <w:r>
                    <w:rPr>
                      <w:rFonts w:hint="default" w:ascii="Times New Roman" w:hAnsi="Times New Roman" w:eastAsia="宋体" w:cs="Times New Roman"/>
                      <w:szCs w:val="21"/>
                    </w:rPr>
                    <w:t>河</w:t>
                  </w:r>
                </w:p>
              </w:tc>
              <w:tc>
                <w:tcPr>
                  <w:tcW w:w="530" w:type="pct"/>
                  <w:vAlign w:val="center"/>
                </w:tcPr>
                <w:p>
                  <w:pPr>
                    <w:pStyle w:val="28"/>
                    <w:rPr>
                      <w:rFonts w:hint="default" w:ascii="Times New Roman" w:hAnsi="Times New Roman" w:cs="Times New Roman"/>
                      <w:szCs w:val="21"/>
                    </w:rPr>
                  </w:pPr>
                  <w:r>
                    <w:rPr>
                      <w:rFonts w:hint="default" w:ascii="Times New Roman" w:hAnsi="Times New Roman" w:cs="Times New Roman"/>
                      <w:color w:val="auto"/>
                      <w:szCs w:val="21"/>
                      <w:lang w:val="en-US" w:eastAsia="zh-CN"/>
                    </w:rPr>
                    <w:t>中</w:t>
                  </w:r>
                  <w:r>
                    <w:rPr>
                      <w:rFonts w:hint="default" w:ascii="Times New Roman" w:hAnsi="Times New Roman" w:cs="Times New Roman"/>
                      <w:color w:val="auto"/>
                      <w:szCs w:val="21"/>
                    </w:rPr>
                    <w:t>型</w:t>
                  </w:r>
                  <w:r>
                    <w:rPr>
                      <w:rFonts w:hint="default" w:ascii="Times New Roman" w:hAnsi="Times New Roman" w:cs="Times New Roman"/>
                      <w:szCs w:val="21"/>
                    </w:rPr>
                    <w:t>河流</w:t>
                  </w:r>
                </w:p>
              </w:tc>
              <w:tc>
                <w:tcPr>
                  <w:tcW w:w="894" w:type="pct"/>
                  <w:vAlign w:val="center"/>
                </w:tcPr>
                <w:p>
                  <w:pPr>
                    <w:pStyle w:val="28"/>
                    <w:rPr>
                      <w:rFonts w:hint="default" w:ascii="Times New Roman" w:hAnsi="Times New Roman" w:eastAsia="宋体" w:cs="Times New Roman"/>
                      <w:szCs w:val="21"/>
                      <w:lang w:eastAsia="zh-CN"/>
                    </w:rPr>
                  </w:pPr>
                  <w:r>
                    <w:rPr>
                      <w:rFonts w:hint="default" w:ascii="Times New Roman" w:hAnsi="Times New Roman" w:cs="Times New Roman"/>
                      <w:color w:val="auto"/>
                      <w:szCs w:val="21"/>
                      <w:lang w:val="en-US" w:eastAsia="zh-CN"/>
                    </w:rPr>
                    <w:t>水质</w:t>
                  </w:r>
                </w:p>
              </w:tc>
              <w:tc>
                <w:tcPr>
                  <w:tcW w:w="1243"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《地表水环境质量标准》（GB3838-2002）中</w:t>
                  </w:r>
                  <w:r>
                    <w:rPr>
                      <w:rFonts w:hint="default" w:ascii="Times New Roman" w:hAnsi="Times New Roman" w:cs="Times New Roman"/>
                      <w:bCs/>
                      <w:szCs w:val="21"/>
                    </w:rPr>
                    <w:fldChar w:fldCharType="begin"/>
                  </w:r>
                  <w:r>
                    <w:rPr>
                      <w:rFonts w:hint="default" w:ascii="Times New Roman" w:hAnsi="Times New Roman" w:cs="Times New Roman"/>
                      <w:bCs/>
                      <w:szCs w:val="21"/>
                    </w:rPr>
                    <w:instrText xml:space="preserve"> = 3 \* ROMAN \* MERGEFORMAT </w:instrText>
                  </w:r>
                  <w:r>
                    <w:rPr>
                      <w:rFonts w:hint="default" w:ascii="Times New Roman" w:hAnsi="Times New Roman" w:cs="Times New Roman"/>
                      <w:bCs/>
                      <w:szCs w:val="21"/>
                    </w:rPr>
                    <w:fldChar w:fldCharType="separate"/>
                  </w:r>
                  <w:r>
                    <w:rPr>
                      <w:rFonts w:hint="default" w:ascii="Times New Roman" w:hAnsi="Times New Roman" w:cs="Times New Roman"/>
                      <w:bCs/>
                      <w:szCs w:val="21"/>
                    </w:rPr>
                    <w:t>III</w:t>
                  </w:r>
                  <w:r>
                    <w:rPr>
                      <w:rFonts w:hint="default" w:ascii="Times New Roman" w:hAnsi="Times New Roman" w:cs="Times New Roman"/>
                      <w:bCs/>
                      <w:szCs w:val="21"/>
                    </w:rPr>
                    <w:fldChar w:fldCharType="end"/>
                  </w:r>
                  <w:r>
                    <w:rPr>
                      <w:rFonts w:hint="default" w:ascii="Times New Roman" w:hAnsi="Times New Roman" w:eastAsia="宋体" w:cs="Times New Roman"/>
                      <w:szCs w:val="21"/>
                    </w:rPr>
                    <w:t>类标准</w:t>
                  </w: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43" w:type="pct"/>
                  <w:vMerge w:val="restart"/>
                  <w:tcBorders>
                    <w:left w:val="single" w:color="auto" w:sz="4" w:space="0"/>
                  </w:tcBorders>
                  <w:vAlign w:val="center"/>
                </w:tcPr>
                <w:p>
                  <w:pPr>
                    <w:pStyle w:val="28"/>
                    <w:rPr>
                      <w:rFonts w:hint="default" w:ascii="Times New Roman" w:hAnsi="Times New Roman" w:cs="Times New Roman"/>
                      <w:szCs w:val="21"/>
                    </w:rPr>
                  </w:pPr>
                  <w:r>
                    <w:rPr>
                      <w:rFonts w:hint="default" w:ascii="Times New Roman" w:hAnsi="Times New Roman" w:cs="Times New Roman"/>
                      <w:szCs w:val="21"/>
                      <w:lang w:val="en-US" w:eastAsia="zh-CN"/>
                    </w:rPr>
                    <w:t>大气</w:t>
                  </w:r>
                  <w:r>
                    <w:rPr>
                      <w:rFonts w:hint="default" w:ascii="Times New Roman" w:hAnsi="Times New Roman" w:cs="Times New Roman"/>
                      <w:szCs w:val="21"/>
                    </w:rPr>
                    <w:t>环境</w:t>
                  </w:r>
                </w:p>
              </w:tc>
              <w:tc>
                <w:tcPr>
                  <w:tcW w:w="677" w:type="pct"/>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梅村</w:t>
                  </w:r>
                </w:p>
              </w:tc>
              <w:tc>
                <w:tcPr>
                  <w:tcW w:w="530"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2</w:t>
                  </w:r>
                  <w:r>
                    <w:rPr>
                      <w:rFonts w:hint="default" w:ascii="Times New Roman" w:hAnsi="Times New Roman" w:cs="Times New Roman"/>
                      <w:szCs w:val="21"/>
                    </w:rPr>
                    <w:t>40</w:t>
                  </w:r>
                  <w:r>
                    <w:rPr>
                      <w:rFonts w:hint="default" w:ascii="Times New Roman" w:hAnsi="Times New Roman" w:eastAsia="宋体" w:cs="Times New Roman"/>
                      <w:szCs w:val="21"/>
                    </w:rPr>
                    <w:t>人</w:t>
                  </w:r>
                </w:p>
              </w:tc>
              <w:tc>
                <w:tcPr>
                  <w:tcW w:w="1243" w:type="pct"/>
                  <w:vMerge w:val="restart"/>
                  <w:vAlign w:val="center"/>
                </w:tcPr>
                <w:p>
                  <w:pPr>
                    <w:pStyle w:val="9"/>
                    <w:spacing w:after="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环境空气质量标准</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GB3095-2012</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二类功能区</w:t>
                  </w: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cs="Times New Roman"/>
                      <w:bCs/>
                      <w:szCs w:val="21"/>
                      <w:lang w:val="en-US" w:eastAsia="zh-CN"/>
                    </w:rPr>
                    <w:t>右岸450m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eastAsia="宋体" w:cs="Times New Roman"/>
                      <w:szCs w:val="21"/>
                      <w:lang w:val="en-US" w:eastAsia="zh-CN"/>
                    </w:rPr>
                    <w:t>下塔里</w:t>
                  </w:r>
                </w:p>
              </w:tc>
              <w:tc>
                <w:tcPr>
                  <w:tcW w:w="530"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15</w:t>
                  </w:r>
                  <w:r>
                    <w:rPr>
                      <w:rFonts w:hint="default" w:ascii="Times New Roman" w:hAnsi="Times New Roman" w:cs="Times New Roman"/>
                      <w:szCs w:val="21"/>
                    </w:rPr>
                    <w:t>0人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cs="Times New Roman"/>
                      <w:bCs/>
                      <w:szCs w:val="21"/>
                      <w:lang w:val="en-US" w:eastAsia="zh-CN"/>
                    </w:rPr>
                    <w:t>右岸350m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eastAsia="宋体" w:cs="Times New Roman"/>
                      <w:szCs w:val="21"/>
                      <w:lang w:val="en-US" w:eastAsia="zh-CN"/>
                    </w:rPr>
                    <w:t>红桥村</w:t>
                  </w:r>
                </w:p>
              </w:tc>
              <w:tc>
                <w:tcPr>
                  <w:tcW w:w="530"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16</w:t>
                  </w:r>
                  <w:r>
                    <w:rPr>
                      <w:rFonts w:hint="default" w:ascii="Times New Roman" w:hAnsi="Times New Roman" w:cs="Times New Roman"/>
                      <w:szCs w:val="21"/>
                    </w:rPr>
                    <w:t>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cs="Times New Roman"/>
                      <w:bCs/>
                      <w:szCs w:val="21"/>
                      <w:lang w:val="en-US" w:eastAsia="zh-CN"/>
                    </w:rPr>
                    <w:t>右岸25m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eastAsia="宋体" w:cs="Times New Roman"/>
                      <w:szCs w:val="21"/>
                      <w:lang w:val="en-US" w:eastAsia="zh-CN"/>
                    </w:rPr>
                    <w:t>青山</w:t>
                  </w:r>
                </w:p>
              </w:tc>
              <w:tc>
                <w:tcPr>
                  <w:tcW w:w="530"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cs="Times New Roman"/>
                      <w:szCs w:val="21"/>
                      <w:lang w:val="en-US" w:eastAsia="zh-CN"/>
                    </w:rPr>
                    <w:t>60</w:t>
                  </w:r>
                  <w:r>
                    <w:rPr>
                      <w:rFonts w:hint="default" w:ascii="Times New Roman" w:hAnsi="Times New Roman" w:cs="Times New Roman"/>
                      <w:szCs w:val="21"/>
                    </w:rPr>
                    <w:t>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左岸30m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石口村</w:t>
                  </w:r>
                </w:p>
              </w:tc>
              <w:tc>
                <w:tcPr>
                  <w:tcW w:w="530"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700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cs="Times New Roman"/>
                      <w:bCs/>
                      <w:szCs w:val="21"/>
                      <w:lang w:val="en-US" w:eastAsia="zh-CN"/>
                    </w:rPr>
                    <w:t>右岸25m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浮石畈</w:t>
                  </w:r>
                </w:p>
              </w:tc>
              <w:tc>
                <w:tcPr>
                  <w:tcW w:w="530"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160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cs="Times New Roman"/>
                      <w:bCs/>
                      <w:szCs w:val="21"/>
                      <w:lang w:val="en-US" w:eastAsia="zh-CN"/>
                    </w:rPr>
                    <w:t>右岸45m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周家湾</w:t>
                  </w:r>
                </w:p>
              </w:tc>
              <w:tc>
                <w:tcPr>
                  <w:tcW w:w="530"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100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左岸450m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河塔村</w:t>
                  </w:r>
                </w:p>
              </w:tc>
              <w:tc>
                <w:tcPr>
                  <w:tcW w:w="530"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500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左岸135m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中溪集镇</w:t>
                  </w:r>
                </w:p>
              </w:tc>
              <w:tc>
                <w:tcPr>
                  <w:tcW w:w="530"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1800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cs="Times New Roman"/>
                      <w:bCs/>
                      <w:szCs w:val="21"/>
                      <w:lang w:val="en-US" w:eastAsia="zh-CN"/>
                    </w:rPr>
                    <w:t>右岸</w:t>
                  </w:r>
                  <w:r>
                    <w:rPr>
                      <w:rFonts w:hint="default" w:ascii="Times New Roman" w:hAnsi="Times New Roman" w:eastAsia="宋体" w:cs="Times New Roman"/>
                      <w:szCs w:val="21"/>
                      <w:lang w:val="en-US" w:eastAsia="zh-CN"/>
                    </w:rPr>
                    <w:t>180m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43" w:type="pct"/>
                  <w:vMerge w:val="restart"/>
                  <w:tcBorders>
                    <w:left w:val="single" w:color="auto" w:sz="4" w:space="0"/>
                  </w:tcBorders>
                  <w:vAlign w:val="center"/>
                </w:tcPr>
                <w:p>
                  <w:pPr>
                    <w:pStyle w:val="28"/>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声环境</w:t>
                  </w:r>
                </w:p>
              </w:tc>
              <w:tc>
                <w:tcPr>
                  <w:tcW w:w="677" w:type="pct"/>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红桥村</w:t>
                  </w:r>
                </w:p>
              </w:tc>
              <w:tc>
                <w:tcPr>
                  <w:tcW w:w="530"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160</w:t>
                  </w:r>
                  <w:r>
                    <w:rPr>
                      <w:rFonts w:hint="default" w:ascii="Times New Roman" w:hAnsi="Times New Roman" w:eastAsia="宋体" w:cs="Times New Roman"/>
                      <w:szCs w:val="21"/>
                    </w:rPr>
                    <w:t>人</w:t>
                  </w:r>
                </w:p>
              </w:tc>
              <w:tc>
                <w:tcPr>
                  <w:tcW w:w="1243" w:type="pct"/>
                  <w:vMerge w:val="restart"/>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《声环境质量标准》（GB3096-2008）</w:t>
                  </w:r>
                  <w:r>
                    <w:rPr>
                      <w:rFonts w:hint="default" w:ascii="Times New Roman" w:hAnsi="Times New Roman" w:eastAsia="微软雅黑" w:cs="Times New Roman"/>
                      <w:color w:val="000000" w:themeColor="text1"/>
                      <w:szCs w:val="21"/>
                      <w14:textFill>
                        <w14:solidFill>
                          <w14:schemeClr w14:val="tx1"/>
                        </w14:solidFill>
                      </w14:textFill>
                    </w:rPr>
                    <w:t>Ⅰ</w:t>
                  </w:r>
                  <w:r>
                    <w:rPr>
                      <w:rFonts w:hint="default" w:ascii="Times New Roman" w:hAnsi="Times New Roman" w:eastAsia="宋体" w:cs="Times New Roman"/>
                      <w:color w:val="000000" w:themeColor="text1"/>
                      <w:szCs w:val="21"/>
                      <w14:textFill>
                        <w14:solidFill>
                          <w14:schemeClr w14:val="tx1"/>
                        </w14:solidFill>
                      </w14:textFill>
                    </w:rPr>
                    <w:t>类标准</w:t>
                  </w: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cs="Times New Roman"/>
                      <w:bCs/>
                      <w:szCs w:val="21"/>
                      <w:lang w:val="en-US" w:eastAsia="zh-CN"/>
                    </w:rPr>
                    <w:t>距红桥重力式挡墙段右岸25m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Cs w:val="21"/>
                      <w:lang w:val="en-US" w:eastAsia="zh-CN"/>
                    </w:rPr>
                    <w:t>青山</w:t>
                  </w:r>
                </w:p>
              </w:tc>
              <w:tc>
                <w:tcPr>
                  <w:tcW w:w="530"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cs="Times New Roman"/>
                      <w:szCs w:val="21"/>
                    </w:rPr>
                  </w:pPr>
                  <w:r>
                    <w:rPr>
                      <w:rFonts w:hint="default" w:ascii="Times New Roman" w:hAnsi="Times New Roman" w:eastAsia="宋体" w:cs="Times New Roman"/>
                      <w:szCs w:val="21"/>
                      <w:lang w:val="en-US" w:eastAsia="zh-CN"/>
                    </w:rPr>
                    <w:t>600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cs="Times New Roman"/>
                      <w:bCs/>
                      <w:szCs w:val="21"/>
                      <w:lang w:val="en-US" w:eastAsia="zh-CN"/>
                    </w:rPr>
                    <w:t>距</w:t>
                  </w:r>
                  <w:r>
                    <w:rPr>
                      <w:rFonts w:hint="default" w:ascii="Times New Roman" w:hAnsi="Times New Roman" w:eastAsia="宋体" w:cs="Times New Roman"/>
                      <w:szCs w:val="21"/>
                      <w:lang w:val="en-US" w:eastAsia="zh-CN"/>
                    </w:rPr>
                    <w:t>青山</w:t>
                  </w:r>
                  <w:r>
                    <w:rPr>
                      <w:rFonts w:hint="default" w:ascii="Times New Roman" w:hAnsi="Times New Roman" w:cs="Times New Roman"/>
                      <w:bCs/>
                      <w:szCs w:val="21"/>
                      <w:lang w:val="en-US" w:eastAsia="zh-CN"/>
                    </w:rPr>
                    <w:t>重力式挡墙段</w:t>
                  </w:r>
                  <w:r>
                    <w:rPr>
                      <w:rFonts w:hint="default" w:ascii="Times New Roman" w:hAnsi="Times New Roman" w:eastAsia="宋体" w:cs="Times New Roman"/>
                      <w:szCs w:val="21"/>
                      <w:lang w:val="en-US" w:eastAsia="zh-CN"/>
                    </w:rPr>
                    <w:t>左岸</w:t>
                  </w:r>
                  <w:r>
                    <w:rPr>
                      <w:rFonts w:hint="default" w:ascii="Times New Roman" w:hAnsi="Times New Roman" w:cs="Times New Roman"/>
                      <w:bCs/>
                      <w:szCs w:val="21"/>
                      <w:lang w:val="en-US" w:eastAsia="zh-CN"/>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43" w:type="pct"/>
                  <w:vMerge w:val="continue"/>
                  <w:tcBorders>
                    <w:left w:val="single" w:color="auto" w:sz="4" w:space="0"/>
                  </w:tcBorders>
                  <w:vAlign w:val="center"/>
                </w:tcPr>
                <w:p>
                  <w:pPr>
                    <w:pStyle w:val="28"/>
                    <w:rPr>
                      <w:rFonts w:hint="default" w:ascii="Times New Roman" w:hAnsi="Times New Roman" w:cs="Times New Roman"/>
                      <w:szCs w:val="21"/>
                    </w:rPr>
                  </w:pPr>
                </w:p>
              </w:tc>
              <w:tc>
                <w:tcPr>
                  <w:tcW w:w="677"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石口村</w:t>
                  </w:r>
                </w:p>
              </w:tc>
              <w:tc>
                <w:tcPr>
                  <w:tcW w:w="530" w:type="pct"/>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700</w:t>
                  </w:r>
                  <w:r>
                    <w:rPr>
                      <w:rFonts w:hint="default" w:ascii="Times New Roman" w:hAnsi="Times New Roman" w:eastAsia="宋体" w:cs="Times New Roman"/>
                      <w:szCs w:val="21"/>
                    </w:rPr>
                    <w:t>人</w:t>
                  </w:r>
                </w:p>
              </w:tc>
              <w:tc>
                <w:tcPr>
                  <w:tcW w:w="1243" w:type="pct"/>
                  <w:vMerge w:val="continue"/>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right w:val="single" w:color="auto" w:sz="12" w:space="0"/>
                  </w:tcBorders>
                  <w:vAlign w:val="center"/>
                </w:tcPr>
                <w:p>
                  <w:pPr>
                    <w:pStyle w:val="9"/>
                    <w:spacing w:after="0"/>
                    <w:jc w:val="center"/>
                    <w:rPr>
                      <w:rFonts w:hint="default" w:ascii="Times New Roman" w:hAnsi="Times New Roman" w:eastAsia="宋体" w:cs="Times New Roman"/>
                      <w:szCs w:val="21"/>
                      <w:lang w:val="en-US"/>
                    </w:rPr>
                  </w:pPr>
                  <w:r>
                    <w:rPr>
                      <w:rFonts w:hint="default" w:ascii="Times New Roman" w:hAnsi="Times New Roman" w:cs="Times New Roman"/>
                      <w:bCs/>
                      <w:szCs w:val="21"/>
                      <w:lang w:val="en-US" w:eastAsia="zh-CN"/>
                    </w:rPr>
                    <w:t>距</w:t>
                  </w:r>
                  <w:r>
                    <w:rPr>
                      <w:rFonts w:hint="default" w:ascii="Times New Roman" w:hAnsi="Times New Roman" w:eastAsia="宋体" w:cs="Times New Roman"/>
                      <w:szCs w:val="21"/>
                      <w:lang w:val="en-US" w:eastAsia="zh-CN"/>
                    </w:rPr>
                    <w:t>石口村清淤段</w:t>
                  </w:r>
                  <w:r>
                    <w:rPr>
                      <w:rFonts w:hint="default" w:ascii="Times New Roman" w:hAnsi="Times New Roman" w:cs="Times New Roman"/>
                      <w:bCs/>
                      <w:szCs w:val="21"/>
                      <w:lang w:val="en-US" w:eastAsia="zh-CN"/>
                    </w:rPr>
                    <w:t>右岸25m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543" w:type="pct"/>
                  <w:vMerge w:val="continue"/>
                  <w:tcBorders>
                    <w:left w:val="single" w:color="auto" w:sz="4" w:space="0"/>
                    <w:bottom w:val="single" w:color="auto" w:sz="12" w:space="0"/>
                  </w:tcBorders>
                  <w:vAlign w:val="center"/>
                </w:tcPr>
                <w:p>
                  <w:pPr>
                    <w:pStyle w:val="28"/>
                    <w:rPr>
                      <w:rFonts w:hint="default" w:ascii="Times New Roman" w:hAnsi="Times New Roman" w:cs="Times New Roman"/>
                      <w:szCs w:val="21"/>
                    </w:rPr>
                  </w:pPr>
                </w:p>
              </w:tc>
              <w:tc>
                <w:tcPr>
                  <w:tcW w:w="677" w:type="pct"/>
                  <w:tcBorders>
                    <w:bottom w:val="single" w:color="auto" w:sz="12" w:space="0"/>
                  </w:tcBorders>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浮石畈</w:t>
                  </w:r>
                </w:p>
              </w:tc>
              <w:tc>
                <w:tcPr>
                  <w:tcW w:w="530" w:type="pct"/>
                  <w:tcBorders>
                    <w:bottom w:val="single" w:color="auto" w:sz="12" w:space="0"/>
                  </w:tcBorders>
                  <w:vAlign w:val="center"/>
                </w:tcPr>
                <w:p>
                  <w:pPr>
                    <w:pStyle w:val="9"/>
                    <w:spacing w:after="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居民</w:t>
                  </w:r>
                </w:p>
              </w:tc>
              <w:tc>
                <w:tcPr>
                  <w:tcW w:w="894" w:type="pct"/>
                  <w:tcBorders>
                    <w:bottom w:val="single" w:color="auto" w:sz="12" w:space="0"/>
                  </w:tcBorders>
                  <w:vAlign w:val="center"/>
                </w:tcPr>
                <w:p>
                  <w:pPr>
                    <w:pStyle w:val="9"/>
                    <w:spacing w:after="0"/>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160</w:t>
                  </w:r>
                  <w:r>
                    <w:rPr>
                      <w:rFonts w:hint="default" w:ascii="Times New Roman" w:hAnsi="Times New Roman" w:eastAsia="宋体" w:cs="Times New Roman"/>
                      <w:szCs w:val="21"/>
                    </w:rPr>
                    <w:t>人</w:t>
                  </w:r>
                </w:p>
              </w:tc>
              <w:tc>
                <w:tcPr>
                  <w:tcW w:w="1243" w:type="pct"/>
                  <w:vMerge w:val="continue"/>
                  <w:tcBorders>
                    <w:bottom w:val="single" w:color="auto" w:sz="12" w:space="0"/>
                  </w:tcBorders>
                  <w:vAlign w:val="center"/>
                </w:tcPr>
                <w:p>
                  <w:pPr>
                    <w:pStyle w:val="9"/>
                    <w:spacing w:after="0"/>
                    <w:jc w:val="center"/>
                    <w:rPr>
                      <w:rFonts w:hint="default" w:ascii="Times New Roman" w:hAnsi="Times New Roman" w:eastAsia="宋体" w:cs="Times New Roman"/>
                      <w:color w:val="000000" w:themeColor="text1"/>
                      <w:szCs w:val="21"/>
                      <w14:textFill>
                        <w14:solidFill>
                          <w14:schemeClr w14:val="tx1"/>
                        </w14:solidFill>
                      </w14:textFill>
                    </w:rPr>
                  </w:pPr>
                </w:p>
              </w:tc>
              <w:tc>
                <w:tcPr>
                  <w:tcW w:w="1109" w:type="pct"/>
                  <w:tcBorders>
                    <w:bottom w:val="single" w:color="auto" w:sz="12" w:space="0"/>
                    <w:right w:val="single" w:color="auto" w:sz="12" w:space="0"/>
                  </w:tcBorders>
                  <w:vAlign w:val="center"/>
                </w:tcPr>
                <w:p>
                  <w:pPr>
                    <w:pStyle w:val="9"/>
                    <w:spacing w:after="0"/>
                    <w:jc w:val="center"/>
                    <w:rPr>
                      <w:rFonts w:hint="default" w:ascii="Times New Roman" w:hAnsi="Times New Roman" w:eastAsia="宋体" w:cs="Times New Roman"/>
                      <w:szCs w:val="21"/>
                    </w:rPr>
                  </w:pPr>
                  <w:r>
                    <w:rPr>
                      <w:rFonts w:hint="default" w:ascii="Times New Roman" w:hAnsi="Times New Roman" w:cs="Times New Roman"/>
                      <w:bCs/>
                      <w:szCs w:val="21"/>
                      <w:lang w:val="en-US" w:eastAsia="zh-CN"/>
                    </w:rPr>
                    <w:t>距</w:t>
                  </w:r>
                  <w:r>
                    <w:rPr>
                      <w:rFonts w:hint="default" w:ascii="Times New Roman" w:hAnsi="Times New Roman" w:eastAsia="宋体" w:cs="Times New Roman"/>
                      <w:szCs w:val="21"/>
                      <w:lang w:val="en-US" w:eastAsia="zh-CN"/>
                    </w:rPr>
                    <w:t>石口村上游清淤段</w:t>
                  </w:r>
                  <w:r>
                    <w:rPr>
                      <w:rFonts w:hint="default" w:ascii="Times New Roman" w:hAnsi="Times New Roman" w:cs="Times New Roman"/>
                      <w:bCs/>
                      <w:szCs w:val="21"/>
                      <w:lang w:val="en-US" w:eastAsia="zh-CN"/>
                    </w:rPr>
                    <w:t>右岸45m</w:t>
                  </w:r>
                </w:p>
              </w:tc>
            </w:tr>
          </w:tbl>
          <w:p>
            <w:pPr>
              <w:pStyle w:val="34"/>
              <w:jc w:val="center"/>
              <w:rPr>
                <w:rFonts w:hint="default" w:ascii="Times New Roman" w:hAnsi="Times New Roman" w:eastAsia="宋体"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2" w:hRule="atLeast"/>
        </w:trPr>
        <w:tc>
          <w:tcPr>
            <w:tcW w:w="453" w:type="pct"/>
            <w:vAlign w:val="center"/>
          </w:tcPr>
          <w:p>
            <w:pPr>
              <w:pStyle w:val="34"/>
              <w:spacing w:line="216" w:lineRule="auto"/>
              <w:jc w:val="center"/>
              <w:rPr>
                <w:rFonts w:hint="default" w:ascii="Times New Roman" w:hAnsi="Times New Roman" w:eastAsia="宋体" w:cs="Times New Roman"/>
              </w:rPr>
            </w:pPr>
            <w:r>
              <w:rPr>
                <w:rFonts w:hint="default" w:ascii="Times New Roman" w:hAnsi="Times New Roman" w:eastAsia="宋体" w:cs="Times New Roman"/>
              </w:rPr>
              <w:t>调查重点</w:t>
            </w:r>
          </w:p>
        </w:tc>
        <w:tc>
          <w:tcPr>
            <w:tcW w:w="4546" w:type="pct"/>
            <w:vAlign w:val="center"/>
          </w:tcPr>
          <w:p>
            <w:pPr>
              <w:pStyle w:val="34"/>
              <w:spacing w:line="360" w:lineRule="auto"/>
              <w:ind w:firstLine="480" w:firstLineChars="200"/>
              <w:rPr>
                <w:rFonts w:hint="default" w:ascii="Times New Roman" w:hAnsi="Times New Roman" w:eastAsia="宋体" w:cs="Times New Roman"/>
                <w:sz w:val="20"/>
              </w:rPr>
            </w:pPr>
            <w:r>
              <w:rPr>
                <w:rFonts w:hint="default" w:ascii="Times New Roman" w:hAnsi="Times New Roman" w:eastAsia="宋体" w:cs="Times New Roman"/>
                <w:sz w:val="24"/>
                <w:szCs w:val="24"/>
              </w:rPr>
              <w:t>本次调查的重点是项目建设及运营期造成的生态环境影响、水环境影响、声环境影响，环境影响报告表及设计中提出的各项环境保护设施落实情况及其有效性，并根据调查结果提出环境保护补救措施。</w:t>
            </w:r>
          </w:p>
        </w:tc>
      </w:tr>
    </w:tbl>
    <w:p>
      <w:pPr>
        <w:spacing w:line="360" w:lineRule="auto"/>
        <w:rPr>
          <w:rFonts w:hint="default" w:ascii="Times New Roman" w:hAnsi="Times New Roman" w:eastAsia="宋体" w:cs="Times New Roman"/>
          <w:b/>
          <w:color w:val="000000"/>
          <w:szCs w:val="21"/>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9"/>
        <w:tabs>
          <w:tab w:val="left" w:pos="788"/>
        </w:tabs>
        <w:spacing w:before="129"/>
        <w:ind w:right="274"/>
        <w:jc w:val="center"/>
        <w:rPr>
          <w:rFonts w:hint="default" w:ascii="Times New Roman" w:hAnsi="Times New Roman" w:eastAsia="宋体" w:cs="Times New Roman"/>
          <w:b/>
          <w:bCs/>
        </w:rPr>
      </w:pPr>
      <w:r>
        <w:rPr>
          <w:rFonts w:hint="default" w:ascii="Times New Roman" w:hAnsi="Times New Roman" w:eastAsia="宋体" w:cs="Times New Roman"/>
          <w:b/>
          <w:bCs/>
        </w:rPr>
        <w:t>验收执行标准</w:t>
      </w:r>
    </w:p>
    <w:tbl>
      <w:tblPr>
        <w:tblStyle w:val="20"/>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25"/>
        <w:gridCol w:w="7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6" w:hRule="atLeast"/>
        </w:trPr>
        <w:tc>
          <w:tcPr>
            <w:tcW w:w="376" w:type="pct"/>
            <w:vAlign w:val="center"/>
          </w:tcPr>
          <w:p>
            <w:pPr>
              <w:pStyle w:val="34"/>
              <w:spacing w:line="216" w:lineRule="auto"/>
              <w:jc w:val="center"/>
              <w:rPr>
                <w:rFonts w:hint="default" w:ascii="Times New Roman" w:hAnsi="Times New Roman" w:eastAsia="宋体" w:cs="Times New Roman"/>
              </w:rPr>
            </w:pPr>
            <w:r>
              <w:rPr>
                <w:rFonts w:hint="default" w:ascii="Times New Roman" w:hAnsi="Times New Roman" w:eastAsia="宋体" w:cs="Times New Roman"/>
              </w:rPr>
              <w:t>环境质量标准</w:t>
            </w:r>
          </w:p>
        </w:tc>
        <w:tc>
          <w:tcPr>
            <w:tcW w:w="4623" w:type="pct"/>
            <w:vAlign w:val="center"/>
          </w:tcPr>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大气环境</w:t>
            </w:r>
          </w:p>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 w:val="24"/>
                <w:szCs w:val="24"/>
                <w:lang w:val="en-US" w:eastAsia="zh-CN"/>
              </w:rPr>
              <w:t>环境空气质量执行</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环境空气质量标准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GB3095-2012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中的二级标准。</w:t>
            </w:r>
          </w:p>
          <w:p>
            <w:pPr>
              <w:pStyle w:val="34"/>
              <w:numPr>
                <w:ilvl w:val="0"/>
                <w:numId w:val="0"/>
              </w:numPr>
              <w:spacing w:line="360" w:lineRule="auto"/>
              <w:jc w:val="center"/>
              <w:rPr>
                <w:rFonts w:hint="default" w:ascii="Times New Roman" w:hAnsi="Times New Roman" w:eastAsia="宋体" w:cs="Times New Roman"/>
                <w:b/>
                <w:bCs/>
                <w:szCs w:val="21"/>
                <w:vertAlign w:val="baseline"/>
                <w:lang w:val="en-US" w:eastAsia="zh-CN"/>
              </w:rPr>
            </w:pPr>
            <w:r>
              <w:rPr>
                <w:rFonts w:hint="default" w:ascii="Times New Roman" w:hAnsi="Times New Roman" w:eastAsia="宋体" w:cs="Times New Roman"/>
                <w:b/>
                <w:bCs/>
                <w:szCs w:val="21"/>
                <w:lang w:val="en-US" w:eastAsia="zh-CN"/>
              </w:rPr>
              <w:t>表2-1</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环境空气质量标准</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单位：μg/m</w:t>
            </w:r>
            <w:r>
              <w:rPr>
                <w:rFonts w:hint="default" w:ascii="Times New Roman" w:hAnsi="Times New Roman" w:eastAsia="宋体" w:cs="Times New Roman"/>
                <w:b/>
                <w:bCs/>
                <w:szCs w:val="21"/>
                <w:vertAlign w:val="superscript"/>
                <w:lang w:val="en-US" w:eastAsia="zh-CN"/>
              </w:rPr>
              <w:t>3</w:t>
            </w:r>
          </w:p>
          <w:tbl>
            <w:tblPr>
              <w:tblStyle w:val="21"/>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920"/>
              <w:gridCol w:w="1440"/>
              <w:gridCol w:w="2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污染物名称</w:t>
                  </w:r>
                </w:p>
              </w:tc>
              <w:tc>
                <w:tcPr>
                  <w:tcW w:w="192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取值时间</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浓度限值</w:t>
                  </w:r>
                </w:p>
              </w:tc>
              <w:tc>
                <w:tcPr>
                  <w:tcW w:w="2597"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restart"/>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二氧化硫（SO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vertAlign w:val="baseline"/>
                      <w:lang w:val="en-US" w:eastAsia="zh-CN"/>
                    </w:rPr>
                    <w:t>）</w:t>
                  </w:r>
                </w:p>
              </w:tc>
              <w:tc>
                <w:tcPr>
                  <w:tcW w:w="192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年平均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60</w:t>
                  </w:r>
                </w:p>
              </w:tc>
              <w:tc>
                <w:tcPr>
                  <w:tcW w:w="2597" w:type="dxa"/>
                  <w:vMerge w:val="restart"/>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p>
                <w:p>
                  <w:pPr>
                    <w:pStyle w:val="34"/>
                    <w:numPr>
                      <w:ilvl w:val="0"/>
                      <w:numId w:val="0"/>
                    </w:numPr>
                    <w:spacing w:line="36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p>
                <w:p>
                  <w:pPr>
                    <w:pStyle w:val="34"/>
                    <w:numPr>
                      <w:ilvl w:val="0"/>
                      <w:numId w:val="0"/>
                    </w:numPr>
                    <w:spacing w:line="36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p>
                <w:p>
                  <w:pPr>
                    <w:pStyle w:val="34"/>
                    <w:numPr>
                      <w:ilvl w:val="0"/>
                      <w:numId w:val="0"/>
                    </w:numPr>
                    <w:spacing w:line="36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p>
                <w:p>
                  <w:pPr>
                    <w:pStyle w:val="34"/>
                    <w:numPr>
                      <w:ilvl w:val="0"/>
                      <w:numId w:val="0"/>
                    </w:numPr>
                    <w:spacing w:line="360" w:lineRule="auto"/>
                    <w:jc w:val="center"/>
                    <w:rPr>
                      <w:rFonts w:hint="default" w:ascii="Times New Roman" w:hAnsi="Times New Roman" w:eastAsia="宋体" w:cs="Times New Roman"/>
                      <w:color w:val="000000" w:themeColor="text1"/>
                      <w:szCs w:val="21"/>
                      <w:lang w:eastAsia="zh-CN"/>
                      <w14:textFill>
                        <w14:solidFill>
                          <w14:schemeClr w14:val="tx1"/>
                        </w14:solidFill>
                      </w14:textFill>
                    </w:rPr>
                  </w:pPr>
                </w:p>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环境空气质量标准</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GB3095-2012</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中二类区标准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spacing w:line="360" w:lineRule="auto"/>
                    <w:jc w:val="center"/>
                    <w:rPr>
                      <w:rFonts w:hint="default" w:ascii="Times New Roman" w:hAnsi="Times New Roman" w:cs="Times New Roman"/>
                    </w:rPr>
                  </w:pPr>
                </w:p>
              </w:tc>
              <w:tc>
                <w:tcPr>
                  <w:tcW w:w="192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24小时平均</w:t>
                  </w:r>
                </w:p>
              </w:tc>
              <w:tc>
                <w:tcPr>
                  <w:tcW w:w="1440" w:type="dxa"/>
                  <w:tcBorders>
                    <w:tl2br w:val="nil"/>
                    <w:tr2bl w:val="nil"/>
                  </w:tcBorders>
                  <w:vAlign w:val="center"/>
                </w:tcPr>
                <w:p>
                  <w:pPr>
                    <w:pStyle w:val="34"/>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150</w:t>
                  </w:r>
                </w:p>
              </w:tc>
              <w:tc>
                <w:tcPr>
                  <w:tcW w:w="2597" w:type="dxa"/>
                  <w:vMerge w:val="continue"/>
                  <w:tcBorders>
                    <w:tl2br w:val="nil"/>
                    <w:tr2bl w:val="nil"/>
                  </w:tcBorders>
                  <w:vAlign w:val="center"/>
                </w:tcPr>
                <w:p>
                  <w:pPr>
                    <w:pStyle w:val="34"/>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spacing w:line="360" w:lineRule="auto"/>
                    <w:jc w:val="center"/>
                    <w:rPr>
                      <w:rFonts w:hint="default" w:ascii="Times New Roman" w:hAnsi="Times New Roman" w:eastAsia="宋体" w:cs="Times New Roman"/>
                      <w:szCs w:val="21"/>
                      <w:vertAlign w:val="baseline"/>
                      <w:lang w:val="en-US" w:eastAsia="zh-CN"/>
                    </w:rPr>
                  </w:pPr>
                </w:p>
              </w:tc>
              <w:tc>
                <w:tcPr>
                  <w:tcW w:w="192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1小时平均</w:t>
                  </w:r>
                </w:p>
              </w:tc>
              <w:tc>
                <w:tcPr>
                  <w:tcW w:w="1440" w:type="dxa"/>
                  <w:tcBorders>
                    <w:tl2br w:val="nil"/>
                    <w:tr2bl w:val="nil"/>
                  </w:tcBorders>
                  <w:vAlign w:val="center"/>
                </w:tcPr>
                <w:p>
                  <w:pPr>
                    <w:pStyle w:val="34"/>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500</w:t>
                  </w:r>
                </w:p>
              </w:tc>
              <w:tc>
                <w:tcPr>
                  <w:tcW w:w="2597" w:type="dxa"/>
                  <w:vMerge w:val="continue"/>
                  <w:tcBorders>
                    <w:tl2br w:val="nil"/>
                    <w:tr2bl w:val="nil"/>
                  </w:tcBorders>
                  <w:vAlign w:val="center"/>
                </w:tcPr>
                <w:p>
                  <w:pPr>
                    <w:pStyle w:val="34"/>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restart"/>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二氧化氮（NO</w:t>
                  </w:r>
                  <w:r>
                    <w:rPr>
                      <w:rFonts w:hint="default" w:ascii="Times New Roman" w:hAnsi="Times New Roman" w:eastAsia="宋体" w:cs="Times New Roman"/>
                      <w:szCs w:val="21"/>
                      <w:vertAlign w:val="subscript"/>
                      <w:lang w:val="en-US" w:eastAsia="zh-CN"/>
                    </w:rPr>
                    <w:t>2</w:t>
                  </w:r>
                  <w:r>
                    <w:rPr>
                      <w:rFonts w:hint="default" w:ascii="Times New Roman" w:hAnsi="Times New Roman" w:eastAsia="宋体" w:cs="Times New Roman"/>
                      <w:szCs w:val="21"/>
                      <w:vertAlign w:val="baseline"/>
                      <w:lang w:val="en-US" w:eastAsia="zh-CN"/>
                    </w:rPr>
                    <w:t>）</w:t>
                  </w: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年平均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40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24小时平均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80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1小时平均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200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restart"/>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PM</w:t>
                  </w:r>
                  <w:r>
                    <w:rPr>
                      <w:rFonts w:hint="default" w:ascii="Times New Roman" w:hAnsi="Times New Roman" w:eastAsia="宋体" w:cs="Times New Roman"/>
                      <w:szCs w:val="21"/>
                      <w:vertAlign w:val="subscript"/>
                      <w:lang w:val="en-US" w:eastAsia="zh-CN"/>
                    </w:rPr>
                    <w:t>10</w:t>
                  </w: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年平均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70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24小时平均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150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restart"/>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PM</w:t>
                  </w:r>
                  <w:r>
                    <w:rPr>
                      <w:rFonts w:hint="default" w:ascii="Times New Roman" w:hAnsi="Times New Roman" w:eastAsia="宋体" w:cs="Times New Roman"/>
                      <w:szCs w:val="21"/>
                      <w:vertAlign w:val="subscript"/>
                      <w:lang w:val="en-US" w:eastAsia="zh-CN"/>
                    </w:rPr>
                    <w:t>2.5</w:t>
                  </w: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年平均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35</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24小时平均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70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restart"/>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CO</w:t>
                  </w: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24小时平均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4</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Cs w:val="21"/>
                      <w:vertAlign w:val="baseline"/>
                      <w:lang w:val="en-US" w:eastAsia="zh-CN"/>
                    </w:rPr>
                    <w:t>1小时平均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restart"/>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O</w:t>
                  </w:r>
                  <w:r>
                    <w:rPr>
                      <w:rFonts w:hint="default" w:ascii="Times New Roman" w:hAnsi="Times New Roman" w:eastAsia="宋体" w:cs="Times New Roman"/>
                      <w:szCs w:val="21"/>
                      <w:vertAlign w:val="subscript"/>
                      <w:lang w:val="en-US" w:eastAsia="zh-CN"/>
                    </w:rPr>
                    <w:t>3</w:t>
                  </w: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日最大8小时平均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160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200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eastAsia" w:ascii="Times New Roman" w:hAnsi="Times New Roman" w:eastAsia="宋体" w:cs="Times New Roman"/>
                      <w:szCs w:val="21"/>
                      <w:vertAlign w:val="baseline"/>
                      <w:lang w:val="en-US" w:eastAsia="zh-CN"/>
                    </w:rPr>
                    <w:t>TSP</w:t>
                  </w:r>
                </w:p>
              </w:tc>
              <w:tc>
                <w:tcPr>
                  <w:tcW w:w="1920" w:type="dxa"/>
                  <w:tcBorders>
                    <w:tl2br w:val="nil"/>
                    <w:tr2bl w:val="nil"/>
                  </w:tcBorders>
                  <w:vAlign w:val="center"/>
                </w:tcPr>
                <w:p>
                  <w:pPr>
                    <w:pStyle w:val="34"/>
                    <w:numPr>
                      <w:ilvl w:val="0"/>
                      <w:numId w:val="0"/>
                    </w:numPr>
                    <w:spacing w:line="360" w:lineRule="auto"/>
                    <w:ind w:left="0" w:leftChars="0" w:firstLine="0" w:firstLineChars="0"/>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24小时平均</w:t>
                  </w:r>
                </w:p>
              </w:tc>
              <w:tc>
                <w:tcPr>
                  <w:tcW w:w="1440" w:type="dxa"/>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eastAsia" w:ascii="Times New Roman" w:hAnsi="Times New Roman" w:eastAsia="宋体" w:cs="Times New Roman"/>
                      <w:szCs w:val="21"/>
                      <w:vertAlign w:val="baseline"/>
                      <w:lang w:val="en-US" w:eastAsia="zh-CN"/>
                    </w:rPr>
                    <w:t>300</w:t>
                  </w:r>
                </w:p>
              </w:tc>
              <w:tc>
                <w:tcPr>
                  <w:tcW w:w="2597" w:type="dxa"/>
                  <w:vMerge w:val="continue"/>
                  <w:tcBorders>
                    <w:tl2br w:val="nil"/>
                    <w:tr2bl w:val="nil"/>
                  </w:tcBorders>
                  <w:vAlign w:val="center"/>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r>
          </w:tbl>
          <w:p>
            <w:pPr>
              <w:pStyle w:val="34"/>
              <w:numPr>
                <w:ilvl w:val="0"/>
                <w:numId w:val="0"/>
              </w:numPr>
              <w:spacing w:line="360" w:lineRule="auto"/>
              <w:jc w:val="left"/>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地表水</w:t>
            </w:r>
          </w:p>
          <w:p>
            <w:pPr>
              <w:pStyle w:val="34"/>
              <w:numPr>
                <w:ilvl w:val="0"/>
                <w:numId w:val="0"/>
              </w:numPr>
              <w:spacing w:line="360" w:lineRule="auto"/>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     东津河石口至沙埠集镇段地表水水质评价执行</w:t>
            </w:r>
            <w:r>
              <w:rPr>
                <w:rFonts w:hint="default" w:ascii="Times New Roman" w:hAnsi="Times New Roman" w:cs="Times New Roman" w:eastAsiaTheme="minorEastAsia"/>
                <w:sz w:val="24"/>
                <w:szCs w:val="24"/>
              </w:rPr>
              <w:t>《地表水环境质量标准》（GB3838-2002）中</w:t>
            </w:r>
            <w:r>
              <w:rPr>
                <w:rFonts w:hint="default" w:ascii="Times New Roman" w:hAnsi="Times New Roman" w:cs="Times New Roman" w:eastAsiaTheme="minorEastAsia"/>
                <w:bCs/>
                <w:sz w:val="24"/>
                <w:szCs w:val="24"/>
              </w:rPr>
              <w:fldChar w:fldCharType="begin"/>
            </w:r>
            <w:r>
              <w:rPr>
                <w:rFonts w:hint="default" w:ascii="Times New Roman" w:hAnsi="Times New Roman" w:cs="Times New Roman" w:eastAsiaTheme="minorEastAsia"/>
                <w:bCs/>
                <w:sz w:val="24"/>
                <w:szCs w:val="24"/>
              </w:rPr>
              <w:instrText xml:space="preserve"> = 3 \* ROMAN \* MERGEFORMAT </w:instrText>
            </w:r>
            <w:r>
              <w:rPr>
                <w:rFonts w:hint="default" w:ascii="Times New Roman" w:hAnsi="Times New Roman" w:cs="Times New Roman" w:eastAsiaTheme="minorEastAsia"/>
                <w:bCs/>
                <w:sz w:val="24"/>
                <w:szCs w:val="24"/>
              </w:rPr>
              <w:fldChar w:fldCharType="separate"/>
            </w:r>
            <w:r>
              <w:rPr>
                <w:rFonts w:hint="default" w:ascii="Times New Roman" w:hAnsi="Times New Roman" w:cs="Times New Roman" w:eastAsiaTheme="minorEastAsia"/>
                <w:bCs/>
                <w:sz w:val="24"/>
                <w:szCs w:val="24"/>
              </w:rPr>
              <w:t>III</w:t>
            </w:r>
            <w:r>
              <w:rPr>
                <w:rFonts w:hint="default" w:ascii="Times New Roman" w:hAnsi="Times New Roman" w:cs="Times New Roman" w:eastAsiaTheme="minorEastAsia"/>
                <w:bCs/>
                <w:sz w:val="24"/>
                <w:szCs w:val="24"/>
              </w:rPr>
              <w:fldChar w:fldCharType="end"/>
            </w:r>
            <w:r>
              <w:rPr>
                <w:rFonts w:hint="default" w:ascii="Times New Roman" w:hAnsi="Times New Roman" w:cs="Times New Roman" w:eastAsiaTheme="minorEastAsia"/>
                <w:sz w:val="24"/>
                <w:szCs w:val="24"/>
              </w:rPr>
              <w:t>类标准</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相关标准值详见下表：</w:t>
            </w:r>
          </w:p>
          <w:p>
            <w:pPr>
              <w:pStyle w:val="34"/>
              <w:numPr>
                <w:ilvl w:val="0"/>
                <w:numId w:val="0"/>
              </w:numPr>
              <w:spacing w:line="360" w:lineRule="auto"/>
              <w:jc w:val="center"/>
              <w:rPr>
                <w:rFonts w:hint="default" w:ascii="Times New Roman" w:hAnsi="Times New Roman" w:eastAsia="宋体" w:cs="Times New Roman"/>
                <w:b/>
                <w:bCs/>
                <w:szCs w:val="21"/>
                <w:vertAlign w:val="baseline"/>
                <w:lang w:val="en-US" w:eastAsia="zh-CN"/>
              </w:rPr>
            </w:pPr>
            <w:r>
              <w:rPr>
                <w:rFonts w:hint="default" w:ascii="Times New Roman" w:hAnsi="Times New Roman" w:eastAsia="宋体" w:cs="Times New Roman"/>
                <w:b/>
                <w:bCs/>
                <w:szCs w:val="21"/>
                <w:lang w:val="en-US" w:eastAsia="zh-CN"/>
              </w:rPr>
              <w:t>表2-2</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地表水环境质量标准</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单位：mg/L</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4190"/>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restart"/>
                  <w:tcBorders>
                    <w:top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cs="Times New Roman" w:eastAsiaTheme="minorEastAsia"/>
                      <w:szCs w:val="21"/>
                      <w:vertAlign w:val="baseline"/>
                      <w:lang w:val="en-US" w:eastAsia="zh-CN"/>
                    </w:rPr>
                    <w:t>序号</w:t>
                  </w:r>
                </w:p>
              </w:tc>
              <w:tc>
                <w:tcPr>
                  <w:tcW w:w="4119" w:type="dxa"/>
                  <w:vMerge w:val="restart"/>
                  <w:tcBorders>
                    <w:top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项目</w:t>
                  </w:r>
                </w:p>
              </w:tc>
              <w:tc>
                <w:tcPr>
                  <w:tcW w:w="2514" w:type="dxa"/>
                  <w:tcBorders>
                    <w:top w:val="single" w:color="auto" w:sz="12" w:space="0"/>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vMerge w:val="continue"/>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4119" w:type="dxa"/>
                  <w:vMerge w:val="continue"/>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cs="Times New Roman"/>
                      <w:bCs/>
                      <w:szCs w:val="21"/>
                    </w:rPr>
                    <w:fldChar w:fldCharType="begin"/>
                  </w:r>
                  <w:r>
                    <w:rPr>
                      <w:rFonts w:hint="default" w:ascii="Times New Roman" w:hAnsi="Times New Roman" w:cs="Times New Roman"/>
                      <w:bCs/>
                      <w:szCs w:val="21"/>
                    </w:rPr>
                    <w:instrText xml:space="preserve"> = 3 \* ROMAN \* MERGEFORMAT </w:instrText>
                  </w:r>
                  <w:r>
                    <w:rPr>
                      <w:rFonts w:hint="default" w:ascii="Times New Roman" w:hAnsi="Times New Roman" w:cs="Times New Roman"/>
                      <w:bCs/>
                      <w:szCs w:val="21"/>
                    </w:rPr>
                    <w:fldChar w:fldCharType="separate"/>
                  </w:r>
                  <w:r>
                    <w:rPr>
                      <w:rFonts w:hint="default" w:ascii="Times New Roman" w:hAnsi="Times New Roman" w:cs="Times New Roman"/>
                      <w:bCs/>
                      <w:szCs w:val="21"/>
                    </w:rPr>
                    <w:t>III</w:t>
                  </w:r>
                  <w:r>
                    <w:rPr>
                      <w:rFonts w:hint="default" w:ascii="Times New Roman" w:hAnsi="Times New Roman" w:cs="Times New Roman"/>
                      <w:bCs/>
                      <w:szCs w:val="21"/>
                    </w:rPr>
                    <w:fldChar w:fldCharType="end"/>
                  </w:r>
                  <w:r>
                    <w:rPr>
                      <w:rFonts w:hint="default" w:ascii="Times New Roman" w:hAnsi="Times New Roman" w:eastAsia="宋体" w:cs="Times New Roman"/>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pH</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溶解氧≥</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3</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高锰酸盐指数≤</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4</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化学需氧量（COD）≤</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5</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五日生化需氧量≤</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6</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氨氮（NH</w:t>
                  </w:r>
                  <w:r>
                    <w:rPr>
                      <w:rFonts w:hint="default" w:ascii="Times New Roman" w:hAnsi="Times New Roman" w:eastAsia="宋体" w:cs="Times New Roman"/>
                      <w:szCs w:val="21"/>
                      <w:vertAlign w:val="subscript"/>
                      <w:lang w:val="en-US" w:eastAsia="zh-CN"/>
                    </w:rPr>
                    <w:t>3</w:t>
                  </w:r>
                  <w:r>
                    <w:rPr>
                      <w:rFonts w:hint="default" w:ascii="Times New Roman" w:hAnsi="Times New Roman" w:eastAsia="宋体" w:cs="Times New Roman"/>
                      <w:szCs w:val="21"/>
                      <w:vertAlign w:val="baseline"/>
                      <w:lang w:val="en-US" w:eastAsia="zh-CN"/>
                    </w:rPr>
                    <w:t>-N）≤</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7</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总磷（以P计）≤</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8</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挥发酚≤</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9</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氰化物≤</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10</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砷≤</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11</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汞≤</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12</w:t>
                  </w:r>
                </w:p>
              </w:tc>
              <w:tc>
                <w:tcPr>
                  <w:tcW w:w="4119" w:type="dxa"/>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铬（六价）≤</w:t>
                  </w:r>
                </w:p>
              </w:tc>
              <w:tc>
                <w:tcPr>
                  <w:tcW w:w="2514" w:type="dxa"/>
                  <w:tcBorders>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9" w:type="dxa"/>
                  <w:tcBorders>
                    <w:left w:val="single" w:color="auto" w:sz="4" w:space="0"/>
                    <w:bottom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13</w:t>
                  </w:r>
                </w:p>
              </w:tc>
              <w:tc>
                <w:tcPr>
                  <w:tcW w:w="4119" w:type="dxa"/>
                  <w:tcBorders>
                    <w:bottom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石油类≤</w:t>
                  </w:r>
                </w:p>
              </w:tc>
              <w:tc>
                <w:tcPr>
                  <w:tcW w:w="2514" w:type="dxa"/>
                  <w:tcBorders>
                    <w:bottom w:val="single" w:color="auto" w:sz="12" w:space="0"/>
                    <w:right w:val="single" w:color="auto" w:sz="12" w:space="0"/>
                  </w:tcBorders>
                  <w:vAlign w:val="top"/>
                </w:tcPr>
                <w:p>
                  <w:pPr>
                    <w:pStyle w:val="34"/>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0.05</w:t>
                  </w:r>
                </w:p>
              </w:tc>
            </w:tr>
          </w:tbl>
          <w:p>
            <w:pPr>
              <w:pStyle w:val="34"/>
              <w:numPr>
                <w:ilvl w:val="0"/>
                <w:numId w:val="0"/>
              </w:numPr>
              <w:spacing w:line="360" w:lineRule="auto"/>
              <w:jc w:val="left"/>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声环境标准</w:t>
            </w:r>
          </w:p>
          <w:p>
            <w:pPr>
              <w:pStyle w:val="34"/>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项目区域及敏感点声环境满足</w:t>
            </w:r>
            <w:r>
              <w:rPr>
                <w:rFonts w:hint="default" w:ascii="Times New Roman" w:hAnsi="Times New Roman" w:cs="Times New Roman" w:eastAsiaTheme="minorEastAsia"/>
                <w:sz w:val="24"/>
                <w:szCs w:val="24"/>
              </w:rPr>
              <w:t>《声环境质量标准》（GB3096-2008）</w:t>
            </w:r>
            <w:r>
              <w:rPr>
                <w:rFonts w:hint="default" w:ascii="Times New Roman" w:hAnsi="Times New Roman" w:cs="Times New Roman" w:eastAsiaTheme="minorEastAsia"/>
                <w:color w:val="000000" w:themeColor="text1"/>
                <w:sz w:val="24"/>
                <w:szCs w:val="24"/>
                <w14:textFill>
                  <w14:solidFill>
                    <w14:schemeClr w14:val="tx1"/>
                  </w14:solidFill>
                </w14:textFill>
              </w:rPr>
              <w:t>Ⅰ类标准</w:t>
            </w:r>
            <w:r>
              <w:rPr>
                <w:rFonts w:hint="default" w:ascii="Times New Roman" w:hAnsi="Times New Roman" w:cs="Times New Roman" w:eastAsiaTheme="minorEastAsia"/>
                <w:sz w:val="24"/>
                <w:szCs w:val="24"/>
                <w:lang w:eastAsia="zh-CN"/>
              </w:rPr>
              <w:t>。</w:t>
            </w:r>
          </w:p>
          <w:p>
            <w:pPr>
              <w:pStyle w:val="34"/>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表2-</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声</w:t>
            </w:r>
            <w:r>
              <w:rPr>
                <w:rFonts w:hint="default" w:ascii="Times New Roman" w:hAnsi="Times New Roman" w:eastAsia="宋体" w:cs="Times New Roman"/>
                <w:b/>
                <w:bCs/>
                <w:szCs w:val="21"/>
                <w:lang w:val="en-US" w:eastAsia="zh-CN"/>
              </w:rPr>
              <w:t>环境质量评价标准</w:t>
            </w:r>
            <w:r>
              <w:rPr>
                <w:rFonts w:hint="default" w:ascii="Times New Roman" w:hAnsi="Times New Roman" w:eastAsia="宋体" w:cs="Times New Roman"/>
                <w:b/>
                <w:bCs/>
                <w:szCs w:val="21"/>
              </w:rPr>
              <w:t>单位：dB（</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rPr>
              <w:t>）</w:t>
            </w:r>
          </w:p>
          <w:tbl>
            <w:tblPr>
              <w:tblStyle w:val="21"/>
              <w:tblW w:w="7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2510"/>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top w:val="single" w:color="auto" w:sz="12" w:space="0"/>
                  </w:tcBorders>
                  <w:vAlign w:val="center"/>
                </w:tcPr>
                <w:p>
                  <w:pPr>
                    <w:pStyle w:val="34"/>
                    <w:jc w:val="center"/>
                    <w:rPr>
                      <w:rFonts w:hint="default" w:ascii="Times New Roman" w:hAnsi="Times New Roman" w:eastAsia="宋体" w:cs="Times New Roman"/>
                      <w:szCs w:val="21"/>
                      <w:lang w:eastAsia="zh-CN"/>
                    </w:rPr>
                  </w:pPr>
                  <w:r>
                    <w:rPr>
                      <w:rFonts w:hint="default" w:ascii="Times New Roman" w:hAnsi="Times New Roman" w:eastAsia="宋体" w:cs="Times New Roman"/>
                      <w:color w:val="000000" w:themeColor="text1"/>
                      <w:szCs w:val="21"/>
                      <w:lang w:val="en-US" w:eastAsia="zh-CN"/>
                      <w14:textFill>
                        <w14:solidFill>
                          <w14:schemeClr w14:val="tx1"/>
                        </w14:solidFill>
                      </w14:textFill>
                    </w:rPr>
                    <w:t>类别</w:t>
                  </w:r>
                </w:p>
              </w:tc>
              <w:tc>
                <w:tcPr>
                  <w:tcW w:w="2510" w:type="dxa"/>
                  <w:tcBorders>
                    <w:top w:val="single" w:color="auto" w:sz="12" w:space="0"/>
                  </w:tcBorders>
                  <w:vAlign w:val="center"/>
                </w:tcPr>
                <w:p>
                  <w:pPr>
                    <w:pStyle w:val="34"/>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2512" w:type="dxa"/>
                  <w:tcBorders>
                    <w:top w:val="single" w:color="auto" w:sz="12" w:space="0"/>
                    <w:right w:val="single" w:color="auto" w:sz="12" w:space="0"/>
                  </w:tcBorders>
                  <w:vAlign w:val="center"/>
                </w:tcPr>
                <w:p>
                  <w:pPr>
                    <w:pStyle w:val="34"/>
                    <w:jc w:val="center"/>
                    <w:rPr>
                      <w:rFonts w:hint="default" w:ascii="Times New Roman" w:hAnsi="Times New Roman" w:eastAsia="宋体" w:cs="Times New Roman"/>
                      <w:szCs w:val="21"/>
                    </w:rPr>
                  </w:pPr>
                  <w:r>
                    <w:rPr>
                      <w:rFonts w:hint="default" w:ascii="Times New Roman" w:hAnsi="Times New Roman" w:eastAsia="宋体"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0" w:type="dxa"/>
                  <w:tcBorders>
                    <w:left w:val="single" w:color="auto" w:sz="4" w:space="0"/>
                    <w:bottom w:val="single" w:color="auto" w:sz="12" w:space="0"/>
                  </w:tcBorders>
                  <w:vAlign w:val="center"/>
                </w:tcPr>
                <w:p>
                  <w:pPr>
                    <w:pStyle w:val="34"/>
                    <w:jc w:val="center"/>
                    <w:rPr>
                      <w:rFonts w:hint="default" w:ascii="Times New Roman" w:hAnsi="Times New Roman" w:eastAsia="宋体" w:cs="Times New Roman"/>
                      <w:szCs w:val="21"/>
                    </w:rPr>
                  </w:pPr>
                  <w:r>
                    <w:rPr>
                      <w:rFonts w:hint="default" w:ascii="Times New Roman" w:hAnsi="Times New Roman" w:eastAsia="微软雅黑" w:cs="Times New Roman"/>
                      <w:color w:val="000000" w:themeColor="text1"/>
                      <w:szCs w:val="21"/>
                      <w14:textFill>
                        <w14:solidFill>
                          <w14:schemeClr w14:val="tx1"/>
                        </w14:solidFill>
                      </w14:textFill>
                    </w:rPr>
                    <w:t>Ⅰ</w:t>
                  </w:r>
                  <w:r>
                    <w:rPr>
                      <w:rFonts w:hint="default" w:ascii="Times New Roman" w:hAnsi="Times New Roman" w:eastAsia="宋体" w:cs="Times New Roman"/>
                      <w:color w:val="000000" w:themeColor="text1"/>
                      <w:szCs w:val="21"/>
                      <w14:textFill>
                        <w14:solidFill>
                          <w14:schemeClr w14:val="tx1"/>
                        </w14:solidFill>
                      </w14:textFill>
                    </w:rPr>
                    <w:t>类</w:t>
                  </w:r>
                </w:p>
              </w:tc>
              <w:tc>
                <w:tcPr>
                  <w:tcW w:w="2510" w:type="dxa"/>
                  <w:tcBorders>
                    <w:bottom w:val="single" w:color="auto" w:sz="12" w:space="0"/>
                  </w:tcBorders>
                  <w:vAlign w:val="center"/>
                </w:tcPr>
                <w:p>
                  <w:pPr>
                    <w:pStyle w:val="34"/>
                    <w:jc w:val="center"/>
                    <w:rPr>
                      <w:rFonts w:hint="default" w:ascii="Times New Roman" w:hAnsi="Times New Roman" w:eastAsia="宋体" w:cs="Times New Roman"/>
                      <w:szCs w:val="21"/>
                    </w:rPr>
                  </w:pPr>
                  <w:r>
                    <w:rPr>
                      <w:rFonts w:hint="default" w:ascii="Times New Roman" w:hAnsi="Times New Roman" w:eastAsia="宋体" w:cs="Times New Roman"/>
                      <w:szCs w:val="21"/>
                    </w:rPr>
                    <w:t>55</w:t>
                  </w:r>
                </w:p>
              </w:tc>
              <w:tc>
                <w:tcPr>
                  <w:tcW w:w="2512" w:type="dxa"/>
                  <w:tcBorders>
                    <w:bottom w:val="single" w:color="auto" w:sz="12" w:space="0"/>
                    <w:right w:val="single" w:color="auto" w:sz="12" w:space="0"/>
                  </w:tcBorders>
                  <w:vAlign w:val="center"/>
                </w:tcPr>
                <w:p>
                  <w:pPr>
                    <w:pStyle w:val="34"/>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45</w:t>
                  </w:r>
                </w:p>
              </w:tc>
            </w:tr>
          </w:tbl>
          <w:p>
            <w:pPr>
              <w:pStyle w:val="34"/>
              <w:spacing w:line="360" w:lineRule="auto"/>
              <w:jc w:val="both"/>
              <w:rPr>
                <w:rFonts w:hint="default" w:ascii="Times New Roman" w:hAnsi="Times New Roman" w:eastAsia="宋体" w:cs="Times New Roman"/>
                <w:szCs w:val="21"/>
              </w:rPr>
            </w:pPr>
          </w:p>
          <w:p>
            <w:pPr>
              <w:pStyle w:val="34"/>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2" w:hRule="atLeast"/>
        </w:trPr>
        <w:tc>
          <w:tcPr>
            <w:tcW w:w="376" w:type="pct"/>
            <w:vAlign w:val="center"/>
          </w:tcPr>
          <w:p>
            <w:pPr>
              <w:pStyle w:val="34"/>
              <w:spacing w:line="216" w:lineRule="auto"/>
              <w:jc w:val="center"/>
              <w:rPr>
                <w:rFonts w:hint="default" w:ascii="Times New Roman" w:hAnsi="Times New Roman" w:eastAsia="宋体" w:cs="Times New Roman"/>
              </w:rPr>
            </w:pPr>
            <w:r>
              <w:rPr>
                <w:rFonts w:hint="default" w:ascii="Times New Roman" w:hAnsi="Times New Roman" w:eastAsia="宋体" w:cs="Times New Roman"/>
              </w:rPr>
              <w:t>污染物排放标准</w:t>
            </w:r>
          </w:p>
        </w:tc>
        <w:tc>
          <w:tcPr>
            <w:tcW w:w="4623" w:type="pct"/>
            <w:vAlign w:val="center"/>
          </w:tcPr>
          <w:p>
            <w:pPr>
              <w:pStyle w:val="34"/>
              <w:numPr>
                <w:ilvl w:val="0"/>
                <w:numId w:val="0"/>
              </w:numPr>
              <w:spacing w:line="360" w:lineRule="auto"/>
              <w:jc w:val="left"/>
              <w:rPr>
                <w:rFonts w:hint="default" w:ascii="Times New Roman" w:hAnsi="Times New Roman" w:cs="Times New Roman" w:eastAsiaTheme="minorEastAsia"/>
                <w:sz w:val="24"/>
                <w:szCs w:val="24"/>
                <w:lang w:val="en-US" w:eastAsia="zh-CN"/>
              </w:rPr>
            </w:pP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val="en-US" w:eastAsia="zh-CN"/>
              </w:rPr>
              <w:t>废气</w:t>
            </w:r>
          </w:p>
          <w:p>
            <w:pPr>
              <w:pStyle w:val="34"/>
              <w:widowControl w:val="0"/>
              <w:numPr>
                <w:ilvl w:val="0"/>
                <w:numId w:val="0"/>
              </w:numPr>
              <w:spacing w:line="360" w:lineRule="auto"/>
              <w:jc w:val="left"/>
              <w:rPr>
                <w:rFonts w:hint="default" w:ascii="Times New Roman" w:hAnsi="Times New Roman" w:eastAsia="宋体" w:cs="Times New Roman"/>
                <w:szCs w:val="21"/>
                <w:lang w:val="en-US" w:eastAsia="zh-CN"/>
              </w:rPr>
            </w:pPr>
            <w:r>
              <w:rPr>
                <w:rFonts w:hint="default" w:ascii="Times New Roman" w:hAnsi="Times New Roman" w:cs="Times New Roman" w:eastAsiaTheme="minorEastAsia"/>
                <w:sz w:val="24"/>
                <w:szCs w:val="24"/>
                <w:lang w:val="en-US" w:eastAsia="zh-CN"/>
              </w:rPr>
              <w:t xml:space="preserve">    施工期废气扬尘执行《大气污染物综合排放标准》（GB16297-1996）中表2无组织排放监控浓度限值。</w:t>
            </w:r>
          </w:p>
          <w:p>
            <w:pPr>
              <w:pStyle w:val="34"/>
              <w:widowControl w:val="0"/>
              <w:numPr>
                <w:ilvl w:val="0"/>
                <w:numId w:val="0"/>
              </w:numPr>
              <w:spacing w:line="360" w:lineRule="auto"/>
              <w:jc w:val="center"/>
              <w:rPr>
                <w:rFonts w:hint="default" w:ascii="Times New Roman" w:hAnsi="Times New Roman" w:eastAsia="宋体" w:cs="Times New Roman"/>
                <w:b/>
                <w:bCs/>
                <w:szCs w:val="21"/>
                <w:vertAlign w:val="baseline"/>
                <w:lang w:val="en-US" w:eastAsia="zh-CN"/>
              </w:rPr>
            </w:pPr>
            <w:r>
              <w:rPr>
                <w:rFonts w:hint="default" w:ascii="Times New Roman" w:hAnsi="Times New Roman" w:eastAsia="宋体" w:cs="Times New Roman"/>
                <w:b/>
                <w:bCs/>
                <w:szCs w:val="21"/>
                <w:lang w:val="en-US" w:eastAsia="zh-CN"/>
              </w:rPr>
              <w:t>表2-4</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大气污染物排放标准</w:t>
            </w:r>
          </w:p>
          <w:tbl>
            <w:tblPr>
              <w:tblStyle w:val="21"/>
              <w:tblW w:w="75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4"/>
              <w:gridCol w:w="2514"/>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vMerge w:val="restart"/>
                  <w:tcBorders>
                    <w:top w:val="single" w:color="auto" w:sz="12" w:space="0"/>
                  </w:tcBorders>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污染物</w:t>
                  </w:r>
                </w:p>
              </w:tc>
              <w:tc>
                <w:tcPr>
                  <w:tcW w:w="5028" w:type="dxa"/>
                  <w:gridSpan w:val="2"/>
                  <w:tcBorders>
                    <w:top w:val="single" w:color="auto" w:sz="12" w:space="0"/>
                    <w:right w:val="single" w:color="auto" w:sz="12" w:space="0"/>
                  </w:tcBorders>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vMerge w:val="continue"/>
                  <w:tcBorders>
                    <w:left w:val="single" w:color="auto" w:sz="4" w:space="0"/>
                  </w:tcBorders>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p>
              </w:tc>
              <w:tc>
                <w:tcPr>
                  <w:tcW w:w="2514" w:type="dxa"/>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监控点</w:t>
                  </w:r>
                </w:p>
              </w:tc>
              <w:tc>
                <w:tcPr>
                  <w:tcW w:w="2514" w:type="dxa"/>
                  <w:tcBorders>
                    <w:right w:val="single" w:color="auto" w:sz="12" w:space="0"/>
                  </w:tcBorders>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浓度（mg/m</w:t>
                  </w:r>
                  <w:r>
                    <w:rPr>
                      <w:rFonts w:hint="default" w:ascii="Times New Roman" w:hAnsi="Times New Roman" w:eastAsia="宋体" w:cs="Times New Roman"/>
                      <w:szCs w:val="21"/>
                      <w:vertAlign w:val="superscript"/>
                      <w:lang w:val="en-US" w:eastAsia="zh-CN"/>
                    </w:rPr>
                    <w:t>3</w:t>
                  </w:r>
                  <w:r>
                    <w:rPr>
                      <w:rFonts w:hint="default" w:ascii="Times New Roman" w:hAnsi="Times New Roman" w:eastAsia="宋体" w:cs="Times New Roman"/>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tcBorders>
                    <w:left w:val="single" w:color="auto" w:sz="4" w:space="0"/>
                    <w:bottom w:val="single" w:color="auto" w:sz="12" w:space="0"/>
                  </w:tcBorders>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颗粒物</w:t>
                  </w:r>
                </w:p>
              </w:tc>
              <w:tc>
                <w:tcPr>
                  <w:tcW w:w="2514" w:type="dxa"/>
                  <w:tcBorders>
                    <w:bottom w:val="single" w:color="auto" w:sz="12" w:space="0"/>
                  </w:tcBorders>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周界外浓度最高点</w:t>
                  </w:r>
                </w:p>
              </w:tc>
              <w:tc>
                <w:tcPr>
                  <w:tcW w:w="2514" w:type="dxa"/>
                  <w:tcBorders>
                    <w:bottom w:val="single" w:color="auto" w:sz="12" w:space="0"/>
                    <w:right w:val="single" w:color="auto" w:sz="12" w:space="0"/>
                  </w:tcBorders>
                  <w:vAlign w:val="center"/>
                </w:tcPr>
                <w:p>
                  <w:pPr>
                    <w:pStyle w:val="34"/>
                    <w:widowControl w:val="0"/>
                    <w:numPr>
                      <w:ilvl w:val="0"/>
                      <w:numId w:val="0"/>
                    </w:numPr>
                    <w:spacing w:line="360" w:lineRule="auto"/>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1.0</w:t>
                  </w:r>
                </w:p>
              </w:tc>
            </w:tr>
          </w:tbl>
          <w:p>
            <w:pPr>
              <w:pStyle w:val="34"/>
              <w:widowControl w:val="0"/>
              <w:numPr>
                <w:ilvl w:val="0"/>
                <w:numId w:val="0"/>
              </w:numPr>
              <w:spacing w:line="360" w:lineRule="auto"/>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default" w:ascii="Times New Roman" w:hAnsi="Times New Roman" w:eastAsia="宋体" w:cs="Times New Roman"/>
                <w:szCs w:val="21"/>
                <w:lang w:val="en-US" w:eastAsia="zh-CN"/>
              </w:rPr>
              <w:t>、</w:t>
            </w:r>
            <w:r>
              <w:rPr>
                <w:rFonts w:hint="default" w:ascii="Times New Roman" w:hAnsi="Times New Roman" w:cs="Times New Roman" w:eastAsiaTheme="minorEastAsia"/>
                <w:sz w:val="24"/>
                <w:szCs w:val="24"/>
                <w:lang w:val="en-US" w:eastAsia="zh-CN"/>
              </w:rPr>
              <w:t>废水</w:t>
            </w:r>
          </w:p>
          <w:p>
            <w:pPr>
              <w:pStyle w:val="34"/>
              <w:spacing w:line="360" w:lineRule="auto"/>
              <w:ind w:firstLine="480" w:firstLineChars="200"/>
              <w:jc w:val="left"/>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施工期施工废水不得排入自然水体，经处理后回用或就近综合利用，生活污水经临时化粪池预处理后委托周边农户清掏后用于农田灌溉。本工程废水及基坑排水排放标准执行《城市污水再生利用 城市杂用水水质》（GB/T18920-2002）中建筑施工杂用水水质标准，生活污水执行《农田灌溉水质标准》（GB5084-2021）旱地作物标准。相关标准值详见下表：</w:t>
            </w:r>
          </w:p>
          <w:p>
            <w:pPr>
              <w:pStyle w:val="34"/>
              <w:spacing w:line="360" w:lineRule="auto"/>
              <w:jc w:val="center"/>
              <w:rPr>
                <w:rFonts w:hint="default" w:ascii="Times New Roman" w:hAnsi="Times New Roman" w:eastAsia="宋体" w:cs="Times New Roman"/>
                <w:b/>
                <w:bCs/>
                <w:szCs w:val="21"/>
                <w:vertAlign w:val="baseline"/>
                <w:lang w:val="en-US" w:eastAsia="zh-CN"/>
              </w:rPr>
            </w:pPr>
            <w:r>
              <w:rPr>
                <w:rFonts w:hint="default" w:ascii="Times New Roman" w:hAnsi="Times New Roman" w:eastAsia="宋体" w:cs="Times New Roman"/>
                <w:b/>
                <w:bCs/>
                <w:szCs w:val="21"/>
                <w:lang w:val="en-US" w:eastAsia="zh-CN"/>
              </w:rPr>
              <w:t>表2-5</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施工期废水执行标准</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单位：mg/L(pH除外）</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1"/>
              <w:gridCol w:w="811"/>
              <w:gridCol w:w="728"/>
              <w:gridCol w:w="823"/>
              <w:gridCol w:w="484"/>
              <w:gridCol w:w="531"/>
              <w:gridCol w:w="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op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项目</w:t>
                  </w:r>
                </w:p>
              </w:tc>
              <w:tc>
                <w:tcPr>
                  <w:tcW w:w="0" w:type="auto"/>
                  <w:tcBorders>
                    <w:top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tc>
              <w:tc>
                <w:tcPr>
                  <w:tcW w:w="0" w:type="auto"/>
                  <w:tcBorders>
                    <w:top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0" w:type="auto"/>
                  <w:tcBorders>
                    <w:top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CODcr</w:t>
                  </w:r>
                </w:p>
              </w:tc>
              <w:tc>
                <w:tcPr>
                  <w:tcW w:w="0" w:type="auto"/>
                  <w:tcBorders>
                    <w:top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氨氮</w:t>
                  </w:r>
                </w:p>
              </w:tc>
              <w:tc>
                <w:tcPr>
                  <w:tcW w:w="0" w:type="auto"/>
                  <w:tcBorders>
                    <w:top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0" w:type="auto"/>
                  <w:tcBorders>
                    <w:top w:val="single" w:color="auto" w:sz="12" w:space="0"/>
                    <w:right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浊度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left w:val="single" w:color="auto" w:sz="4" w:space="0"/>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eastAsiaTheme="minorEastAsia"/>
                      <w:sz w:val="21"/>
                      <w:szCs w:val="21"/>
                      <w:lang w:val="en-US" w:eastAsia="zh-CN"/>
                    </w:rPr>
                    <w:t>《农田灌溉水质标准》（GB5084-2021）旱地作物标准</w:t>
                  </w:r>
                </w:p>
              </w:tc>
              <w:tc>
                <w:tcPr>
                  <w:tcW w:w="0" w:type="auto"/>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5.5-8.5</w:t>
                  </w:r>
                </w:p>
              </w:tc>
              <w:tc>
                <w:tcPr>
                  <w:tcW w:w="0" w:type="auto"/>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100</w:t>
                  </w:r>
                </w:p>
              </w:tc>
              <w:tc>
                <w:tcPr>
                  <w:tcW w:w="0" w:type="auto"/>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200</w:t>
                  </w:r>
                </w:p>
              </w:tc>
              <w:tc>
                <w:tcPr>
                  <w:tcW w:w="0" w:type="auto"/>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0" w:type="auto"/>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100</w:t>
                  </w:r>
                </w:p>
              </w:tc>
              <w:tc>
                <w:tcPr>
                  <w:tcW w:w="0" w:type="auto"/>
                  <w:tcBorders>
                    <w:right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left w:val="single" w:color="auto" w:sz="4" w:space="0"/>
                    <w:bottom w:val="single" w:color="auto" w:sz="12" w:space="0"/>
                  </w:tcBorders>
                  <w:vAlign w:val="center"/>
                </w:tcPr>
                <w:p>
                  <w:pPr>
                    <w:pStyle w:val="3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eastAsiaTheme="minorEastAsia"/>
                      <w:sz w:val="21"/>
                      <w:szCs w:val="21"/>
                      <w:lang w:val="en-US" w:eastAsia="zh-CN"/>
                    </w:rPr>
                    <w:t>《城市污水再生利用 城市杂用水水质》（GB/T18920-2002）中建筑施工杂用水水质标准</w:t>
                  </w:r>
                </w:p>
              </w:tc>
              <w:tc>
                <w:tcPr>
                  <w:tcW w:w="0" w:type="auto"/>
                  <w:tcBorders>
                    <w:bottom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6-9</w:t>
                  </w:r>
                </w:p>
              </w:tc>
              <w:tc>
                <w:tcPr>
                  <w:tcW w:w="0" w:type="auto"/>
                  <w:tcBorders>
                    <w:bottom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c>
                <w:tcPr>
                  <w:tcW w:w="0" w:type="auto"/>
                  <w:tcBorders>
                    <w:bottom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0" w:type="auto"/>
                  <w:tcBorders>
                    <w:bottom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c>
                <w:tcPr>
                  <w:tcW w:w="0" w:type="auto"/>
                  <w:tcBorders>
                    <w:bottom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0" w:type="auto"/>
                  <w:tcBorders>
                    <w:bottom w:val="single" w:color="auto" w:sz="12" w:space="0"/>
                    <w:right w:val="single" w:color="auto" w:sz="12" w:space="0"/>
                  </w:tcBorders>
                  <w:vAlign w:val="center"/>
                </w:tcPr>
                <w:p>
                  <w:pPr>
                    <w:pStyle w:val="34"/>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w:t>
                  </w:r>
                </w:p>
              </w:tc>
            </w:tr>
          </w:tbl>
          <w:p>
            <w:pPr>
              <w:pStyle w:val="34"/>
              <w:spacing w:line="360" w:lineRule="auto"/>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3</w:t>
            </w:r>
            <w:r>
              <w:rPr>
                <w:rFonts w:hint="default" w:ascii="Times New Roman" w:hAnsi="Times New Roman" w:eastAsia="宋体" w:cs="Times New Roman"/>
                <w:szCs w:val="21"/>
                <w:lang w:val="en-US" w:eastAsia="zh-CN"/>
              </w:rPr>
              <w:t>、</w:t>
            </w:r>
            <w:r>
              <w:rPr>
                <w:rFonts w:hint="default" w:ascii="Times New Roman" w:hAnsi="Times New Roman" w:cs="Times New Roman" w:eastAsiaTheme="minorEastAsia"/>
                <w:sz w:val="24"/>
                <w:szCs w:val="24"/>
              </w:rPr>
              <w:t>噪声</w:t>
            </w:r>
          </w:p>
          <w:p>
            <w:pPr>
              <w:pStyle w:val="34"/>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项目施工期</w:t>
            </w:r>
            <w:r>
              <w:rPr>
                <w:rFonts w:hint="default" w:ascii="Times New Roman" w:hAnsi="Times New Roman" w:cs="Times New Roman" w:eastAsiaTheme="minorEastAsia"/>
                <w:sz w:val="24"/>
                <w:szCs w:val="24"/>
              </w:rPr>
              <w:t>执行《</w:t>
            </w:r>
            <w:r>
              <w:rPr>
                <w:rFonts w:hint="default" w:ascii="Times New Roman" w:hAnsi="Times New Roman" w:cs="Times New Roman" w:eastAsiaTheme="minorEastAsia"/>
                <w:sz w:val="24"/>
                <w:szCs w:val="24"/>
                <w:lang w:val="en-US" w:eastAsia="zh-CN"/>
              </w:rPr>
              <w:t>建筑施工场界环境噪声排放</w:t>
            </w:r>
            <w:r>
              <w:rPr>
                <w:rFonts w:hint="default" w:ascii="Times New Roman" w:hAnsi="Times New Roman" w:cs="Times New Roman" w:eastAsiaTheme="minorEastAsia"/>
                <w:sz w:val="24"/>
                <w:szCs w:val="24"/>
              </w:rPr>
              <w:t>标准》（GB</w:t>
            </w:r>
            <w:r>
              <w:rPr>
                <w:rFonts w:hint="default" w:ascii="Times New Roman" w:hAnsi="Times New Roman" w:cs="Times New Roman" w:eastAsiaTheme="minorEastAsia"/>
                <w:sz w:val="24"/>
                <w:szCs w:val="24"/>
                <w:lang w:val="en-US" w:eastAsia="zh-CN"/>
              </w:rPr>
              <w:t>12523</w:t>
            </w:r>
            <w:r>
              <w:rPr>
                <w:rFonts w:hint="default" w:ascii="Times New Roman" w:hAnsi="Times New Roman" w:cs="Times New Roman" w:eastAsiaTheme="minorEastAsia"/>
                <w:sz w:val="24"/>
                <w:szCs w:val="24"/>
              </w:rPr>
              <w:t>-20</w:t>
            </w:r>
            <w:r>
              <w:rPr>
                <w:rFonts w:hint="default"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噪声限值：</w:t>
            </w:r>
          </w:p>
          <w:p>
            <w:pPr>
              <w:pStyle w:val="34"/>
              <w:spacing w:line="360" w:lineRule="auto"/>
              <w:jc w:val="center"/>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rPr>
              <w:t>表2-</w:t>
            </w:r>
            <w:r>
              <w:rPr>
                <w:rFonts w:hint="default" w:ascii="Times New Roman" w:hAnsi="Times New Roman" w:eastAsia="宋体" w:cs="Times New Roman"/>
                <w:b/>
                <w:bCs/>
                <w:szCs w:val="21"/>
                <w:lang w:val="en-US" w:eastAsia="zh-CN"/>
              </w:rPr>
              <w:t>6</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建筑施工场界环境噪声排放</w:t>
            </w:r>
            <w:r>
              <w:rPr>
                <w:rFonts w:hint="default" w:ascii="Times New Roman" w:hAnsi="Times New Roman" w:eastAsia="宋体" w:cs="Times New Roman"/>
                <w:b/>
                <w:bCs/>
                <w:szCs w:val="21"/>
              </w:rPr>
              <w:t>标准</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rPr>
              <w:t>单位：dB</w:t>
            </w:r>
            <w:r>
              <w:rPr>
                <w:rFonts w:hint="default" w:ascii="Times New Roman" w:hAnsi="Times New Roman" w:eastAsia="宋体" w:cs="Times New Roman"/>
                <w:b/>
                <w:bCs/>
                <w:szCs w:val="21"/>
                <w:lang w:eastAsia="zh-CN"/>
              </w:rPr>
              <w:t>（</w:t>
            </w:r>
            <w:r>
              <w:rPr>
                <w:rFonts w:hint="default" w:ascii="Times New Roman" w:hAnsi="Times New Roman" w:eastAsia="宋体" w:cs="Times New Roman"/>
                <w:b/>
                <w:bCs/>
                <w:szCs w:val="21"/>
                <w:lang w:val="en-US" w:eastAsia="zh-CN"/>
              </w:rPr>
              <w:t>A</w:t>
            </w:r>
            <w:r>
              <w:rPr>
                <w:rFonts w:hint="default" w:ascii="Times New Roman" w:hAnsi="Times New Roman" w:eastAsia="宋体" w:cs="Times New Roman"/>
                <w:b/>
                <w:bCs/>
                <w:szCs w:val="21"/>
                <w:lang w:eastAsia="zh-CN"/>
              </w:rPr>
              <w: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6"/>
              <w:gridCol w:w="3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766" w:type="dxa"/>
                  <w:tcBorders>
                    <w:top w:val="single" w:color="auto" w:sz="12" w:space="0"/>
                  </w:tcBorders>
                  <w:vAlign w:val="center"/>
                </w:tcPr>
                <w:p>
                  <w:pPr>
                    <w:pStyle w:val="34"/>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3766" w:type="dxa"/>
                  <w:tcBorders>
                    <w:top w:val="single" w:color="auto" w:sz="12" w:space="0"/>
                    <w:right w:val="single" w:color="auto" w:sz="12" w:space="0"/>
                  </w:tcBorders>
                  <w:vAlign w:val="center"/>
                </w:tcPr>
                <w:p>
                  <w:pPr>
                    <w:pStyle w:val="34"/>
                    <w:jc w:val="center"/>
                    <w:rPr>
                      <w:rFonts w:hint="default" w:ascii="Times New Roman" w:hAnsi="Times New Roman" w:eastAsia="宋体" w:cs="Times New Roman"/>
                      <w:szCs w:val="21"/>
                    </w:rPr>
                  </w:pPr>
                  <w:r>
                    <w:rPr>
                      <w:rFonts w:hint="default" w:ascii="Times New Roman" w:hAnsi="Times New Roman" w:eastAsia="宋体" w:cs="Times New Roman"/>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6" w:type="dxa"/>
                  <w:tcBorders>
                    <w:left w:val="single" w:color="auto" w:sz="4" w:space="0"/>
                    <w:bottom w:val="single" w:color="auto" w:sz="12" w:space="0"/>
                  </w:tcBorders>
                  <w:vAlign w:val="center"/>
                </w:tcPr>
                <w:p>
                  <w:pPr>
                    <w:pStyle w:val="34"/>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70</w:t>
                  </w:r>
                </w:p>
              </w:tc>
              <w:tc>
                <w:tcPr>
                  <w:tcW w:w="3766" w:type="dxa"/>
                  <w:tcBorders>
                    <w:bottom w:val="single" w:color="auto" w:sz="12" w:space="0"/>
                    <w:right w:val="single" w:color="auto" w:sz="12" w:space="0"/>
                  </w:tcBorders>
                  <w:vAlign w:val="center"/>
                </w:tcPr>
                <w:p>
                  <w:pPr>
                    <w:pStyle w:val="34"/>
                    <w:jc w:val="center"/>
                    <w:rPr>
                      <w:rFonts w:hint="default" w:ascii="Times New Roman" w:hAnsi="Times New Roman" w:eastAsia="宋体" w:cs="Times New Roman"/>
                      <w:szCs w:val="21"/>
                    </w:rPr>
                  </w:pPr>
                  <w:r>
                    <w:rPr>
                      <w:rFonts w:hint="default" w:ascii="Times New Roman" w:hAnsi="Times New Roman" w:eastAsia="宋体" w:cs="Times New Roman"/>
                      <w:szCs w:val="21"/>
                    </w:rPr>
                    <w:t>55</w:t>
                  </w:r>
                </w:p>
              </w:tc>
            </w:tr>
          </w:tbl>
          <w:p>
            <w:pPr>
              <w:pStyle w:val="34"/>
              <w:spacing w:line="360" w:lineRule="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4、固废</w:t>
            </w:r>
          </w:p>
          <w:p>
            <w:pPr>
              <w:pStyle w:val="34"/>
              <w:spacing w:line="360" w:lineRule="auto"/>
              <w:ind w:firstLine="480" w:firstLineChars="200"/>
              <w:rPr>
                <w:rFonts w:hint="default" w:ascii="Times New Roman" w:hAnsi="Times New Roman" w:eastAsia="宋体" w:cs="Times New Roman"/>
                <w:szCs w:val="21"/>
              </w:rPr>
            </w:pPr>
            <w:r>
              <w:rPr>
                <w:rFonts w:hint="default" w:ascii="Times New Roman" w:hAnsi="Times New Roman" w:cs="Times New Roman" w:eastAsiaTheme="minorEastAsia"/>
                <w:sz w:val="24"/>
                <w:szCs w:val="24"/>
                <w:lang w:val="en-US" w:eastAsia="zh-CN"/>
              </w:rPr>
              <w:t>一般固体废物暂存执行《一般工业固体废物贮存和填埋污染控制标准》（GB18599-2020）中有关要求；危险废物控制执行《危险废物贮存污染控制标准》</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GB18589-2001</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及2013年修改单。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376" w:type="pct"/>
            <w:vAlign w:val="center"/>
          </w:tcPr>
          <w:p>
            <w:pPr>
              <w:pStyle w:val="34"/>
              <w:spacing w:line="216" w:lineRule="auto"/>
              <w:jc w:val="center"/>
              <w:rPr>
                <w:rFonts w:hint="default" w:ascii="Times New Roman" w:hAnsi="Times New Roman" w:eastAsia="宋体" w:cs="Times New Roman"/>
              </w:rPr>
            </w:pPr>
            <w:r>
              <w:rPr>
                <w:rFonts w:hint="default" w:ascii="Times New Roman" w:hAnsi="Times New Roman" w:eastAsia="宋体" w:cs="Times New Roman"/>
              </w:rPr>
              <w:t>总量控制指标</w:t>
            </w:r>
          </w:p>
        </w:tc>
        <w:tc>
          <w:tcPr>
            <w:tcW w:w="4623" w:type="pct"/>
            <w:vAlign w:val="center"/>
          </w:tcPr>
          <w:p>
            <w:pPr>
              <w:pStyle w:val="34"/>
              <w:jc w:val="center"/>
              <w:rPr>
                <w:rFonts w:hint="default" w:ascii="Times New Roman" w:hAnsi="Times New Roman" w:eastAsia="宋体" w:cs="Times New Roman"/>
                <w:szCs w:val="21"/>
              </w:rPr>
            </w:pPr>
            <w:r>
              <w:rPr>
                <w:rFonts w:hint="default" w:ascii="Times New Roman" w:hAnsi="Times New Roman" w:eastAsia="宋体" w:cs="Times New Roman"/>
                <w:sz w:val="24"/>
                <w:szCs w:val="24"/>
              </w:rPr>
              <w:t>根据环评与批复要求，本项目无总量控制指标。</w:t>
            </w:r>
          </w:p>
        </w:tc>
      </w:tr>
    </w:tbl>
    <w:p>
      <w:pPr>
        <w:spacing w:line="360" w:lineRule="auto"/>
        <w:rPr>
          <w:rFonts w:hint="default" w:ascii="Times New Roman" w:hAnsi="Times New Roman" w:eastAsia="宋体" w:cs="Times New Roman"/>
          <w:b/>
          <w:color w:val="000000"/>
          <w:szCs w:val="21"/>
        </w:rPr>
        <w:sectPr>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pPr>
    </w:p>
    <w:p>
      <w:pPr>
        <w:pStyle w:val="9"/>
        <w:tabs>
          <w:tab w:val="left" w:pos="788"/>
        </w:tabs>
        <w:spacing w:line="415" w:lineRule="exact"/>
        <w:ind w:right="274"/>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工程概况</w:t>
      </w:r>
    </w:p>
    <w:tbl>
      <w:tblPr>
        <w:tblStyle w:val="20"/>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18"/>
        <w:gridCol w:w="6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31" w:type="pct"/>
            <w:tcBorders>
              <w:bottom w:val="single" w:color="000000" w:sz="6" w:space="0"/>
              <w:right w:val="single" w:color="000000" w:sz="6" w:space="0"/>
            </w:tcBorders>
            <w:vAlign w:val="center"/>
          </w:tcPr>
          <w:p>
            <w:pPr>
              <w:pStyle w:val="34"/>
              <w:spacing w:before="79"/>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3968" w:type="pct"/>
            <w:tcBorders>
              <w:left w:val="single" w:color="000000" w:sz="6" w:space="0"/>
              <w:bottom w:val="single" w:color="000000" w:sz="6" w:space="0"/>
            </w:tcBorders>
            <w:vAlign w:val="center"/>
          </w:tcPr>
          <w:p>
            <w:pPr>
              <w:pStyle w:val="34"/>
              <w:jc w:val="center"/>
              <w:rPr>
                <w:rFonts w:hint="default" w:ascii="Times New Roman" w:hAnsi="Times New Roman" w:eastAsia="宋体" w:cs="Times New Roman"/>
                <w:sz w:val="20"/>
              </w:rPr>
            </w:pPr>
            <w:r>
              <w:rPr>
                <w:rFonts w:hint="default" w:ascii="Times New Roman" w:hAnsi="Times New Roman" w:eastAsia="宋体" w:cs="Times New Roman"/>
                <w:sz w:val="24"/>
                <w:szCs w:val="24"/>
              </w:rPr>
              <w:t>东津河石口至沙埠段河道治理工程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0" w:hRule="atLeast"/>
        </w:trPr>
        <w:tc>
          <w:tcPr>
            <w:tcW w:w="1031" w:type="pct"/>
            <w:tcBorders>
              <w:top w:val="single" w:color="000000" w:sz="6" w:space="0"/>
              <w:bottom w:val="single" w:color="000000" w:sz="6" w:space="0"/>
              <w:right w:val="single" w:color="000000" w:sz="6" w:space="0"/>
            </w:tcBorders>
            <w:vAlign w:val="center"/>
          </w:tcPr>
          <w:p>
            <w:pPr>
              <w:pStyle w:val="34"/>
              <w:spacing w:line="303" w:lineRule="exact"/>
              <w:ind w:left="89" w:right="78"/>
              <w:jc w:val="center"/>
              <w:rPr>
                <w:rFonts w:hint="default" w:ascii="Times New Roman" w:hAnsi="Times New Roman" w:eastAsia="宋体" w:cs="Times New Roman"/>
              </w:rPr>
            </w:pPr>
            <w:r>
              <w:rPr>
                <w:rFonts w:hint="default" w:ascii="Times New Roman" w:hAnsi="Times New Roman" w:eastAsia="宋体" w:cs="Times New Roman"/>
              </w:rPr>
              <w:t>项目地理位置</w:t>
            </w:r>
          </w:p>
          <w:p>
            <w:pPr>
              <w:pStyle w:val="34"/>
              <w:spacing w:line="278" w:lineRule="exact"/>
              <w:ind w:left="89" w:right="78"/>
              <w:jc w:val="center"/>
              <w:rPr>
                <w:rFonts w:hint="default" w:ascii="Times New Roman" w:hAnsi="Times New Roman" w:eastAsia="宋体" w:cs="Times New Roman"/>
              </w:rPr>
            </w:pPr>
          </w:p>
        </w:tc>
        <w:tc>
          <w:tcPr>
            <w:tcW w:w="3968" w:type="pct"/>
            <w:tcBorders>
              <w:top w:val="single" w:color="000000" w:sz="6" w:space="0"/>
              <w:left w:val="single" w:color="000000" w:sz="6" w:space="0"/>
              <w:bottom w:val="single" w:color="000000" w:sz="6" w:space="0"/>
            </w:tcBorders>
          </w:tcPr>
          <w:p>
            <w:pPr>
              <w:pStyle w:val="34"/>
              <w:spacing w:line="360" w:lineRule="auto"/>
              <w:ind w:firstLine="480" w:firstLineChars="200"/>
              <w:rPr>
                <w:rFonts w:hint="default" w:ascii="Times New Roman" w:hAnsi="Times New Roman" w:eastAsia="宋体" w:cs="Times New Roman"/>
                <w:sz w:val="20"/>
              </w:rPr>
            </w:pPr>
            <w:r>
              <w:rPr>
                <w:rFonts w:hint="default" w:ascii="Times New Roman" w:hAnsi="Times New Roman" w:eastAsia="宋体" w:cs="Times New Roman"/>
                <w:sz w:val="24"/>
                <w:szCs w:val="24"/>
              </w:rPr>
              <w:t>项目</w:t>
            </w:r>
            <w:r>
              <w:rPr>
                <w:rFonts w:hint="default" w:ascii="Times New Roman" w:hAnsi="Times New Roman" w:eastAsia="宋体" w:cs="Times New Roman"/>
                <w:sz w:val="24"/>
                <w:szCs w:val="24"/>
                <w:lang w:val="en-US" w:eastAsia="zh-CN"/>
              </w:rPr>
              <w:t>位于</w:t>
            </w:r>
            <w:r>
              <w:rPr>
                <w:rFonts w:hint="default" w:ascii="Times New Roman" w:hAnsi="Times New Roman" w:eastAsia="宋体" w:cs="Times New Roman"/>
                <w:sz w:val="24"/>
                <w:szCs w:val="24"/>
              </w:rPr>
              <w:t>宁国市中溪镇</w:t>
            </w:r>
            <w:r>
              <w:rPr>
                <w:rFonts w:hint="eastAsia" w:ascii="Times New Roman" w:hAnsi="Times New Roman" w:eastAsia="宋体" w:cs="Times New Roman"/>
                <w:sz w:val="24"/>
                <w:szCs w:val="24"/>
                <w:lang w:val="en-US" w:eastAsia="zh-CN"/>
              </w:rPr>
              <w:t>，项目起点坐标：东经119°6′59.531″；北纬30°29′29.490″；终点坐标：东经119°5′58.891″；北纬30°31′51.512″。</w:t>
            </w:r>
            <w:r>
              <w:rPr>
                <w:rFonts w:hint="default" w:ascii="Times New Roman" w:hAnsi="Times New Roman" w:eastAsia="宋体" w:cs="Times New Roman"/>
                <w:sz w:val="24"/>
                <w:szCs w:val="24"/>
                <w:lang w:val="en-US" w:eastAsia="zh-CN"/>
              </w:rPr>
              <w:t>项目地理位置示意图如下：</w:t>
            </w:r>
          </w:p>
          <w:p>
            <w:pPr>
              <w:pStyle w:val="34"/>
              <w:spacing w:line="360" w:lineRule="auto"/>
              <w:rPr>
                <w:rFonts w:hint="default" w:ascii="Times New Roman" w:hAnsi="Times New Roman" w:eastAsia="宋体" w:cs="Times New Roman"/>
                <w:sz w:val="20"/>
                <w:lang w:eastAsia="zh-CN"/>
              </w:rPr>
            </w:pPr>
            <w:r>
              <w:rPr>
                <w:rFonts w:hint="default" w:ascii="Times New Roman" w:hAnsi="Times New Roman" w:eastAsia="宋体" w:cs="Times New Roman"/>
                <w:sz w:val="20"/>
                <w:lang w:val="en-US" w:eastAsia="zh-CN"/>
              </w:rPr>
              <w:t xml:space="preserve">  </w:t>
            </w:r>
            <w:r>
              <w:rPr>
                <w:rFonts w:hint="default" w:ascii="Times New Roman" w:hAnsi="Times New Roman" w:eastAsia="宋体" w:cs="Times New Roman"/>
                <w:sz w:val="20"/>
                <w:lang w:eastAsia="zh-CN"/>
              </w:rPr>
              <w:drawing>
                <wp:inline distT="0" distB="0" distL="114300" distR="114300">
                  <wp:extent cx="3958590" cy="3293110"/>
                  <wp:effectExtent l="0" t="0" r="3810" b="2540"/>
                  <wp:docPr id="6" name="图片 6" descr="56464e93f729dfa19707d881c3e2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464e93f729dfa19707d881c3e2e2e"/>
                          <pic:cNvPicPr>
                            <a:picLocks noChangeAspect="1"/>
                          </pic:cNvPicPr>
                        </pic:nvPicPr>
                        <pic:blipFill>
                          <a:blip r:embed="rId8"/>
                          <a:stretch>
                            <a:fillRect/>
                          </a:stretch>
                        </pic:blipFill>
                        <pic:spPr>
                          <a:xfrm>
                            <a:off x="0" y="0"/>
                            <a:ext cx="3958590" cy="3293110"/>
                          </a:xfrm>
                          <a:prstGeom prst="rect">
                            <a:avLst/>
                          </a:prstGeom>
                        </pic:spPr>
                      </pic:pic>
                    </a:graphicData>
                  </a:graphic>
                </wp:inline>
              </w:drawing>
            </w:r>
          </w:p>
          <w:p>
            <w:pPr>
              <w:pStyle w:val="34"/>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图3-1 地理位置图</w:t>
            </w:r>
          </w:p>
        </w:tc>
      </w:tr>
    </w:tbl>
    <w:p>
      <w:pPr>
        <w:spacing w:line="360" w:lineRule="auto"/>
        <w:rPr>
          <w:rFonts w:hint="default" w:ascii="Times New Roman" w:hAnsi="Times New Roman" w:eastAsia="宋体" w:cs="Times New Roman"/>
          <w:sz w:val="24"/>
          <w:szCs w:val="24"/>
        </w:rPr>
        <w:sectPr>
          <w:pgSz w:w="11910" w:h="16840"/>
          <w:pgMar w:top="1440" w:right="1803" w:bottom="1440" w:left="1803" w:header="863" w:footer="996" w:gutter="0"/>
          <w:pgBorders>
            <w:top w:val="none" w:sz="0" w:space="0"/>
            <w:left w:val="none" w:sz="0" w:space="0"/>
            <w:bottom w:val="none" w:sz="0" w:space="0"/>
            <w:right w:val="none" w:sz="0" w:space="0"/>
          </w:pgBorders>
          <w:cols w:space="720" w:num="1"/>
        </w:sectPr>
      </w:pPr>
    </w:p>
    <w:tbl>
      <w:tblPr>
        <w:tblStyle w:val="20"/>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9" w:hRule="atLeast"/>
        </w:trPr>
        <w:tc>
          <w:tcPr>
            <w:tcW w:w="5000" w:type="pct"/>
            <w:tcBorders>
              <w:top w:val="single" w:color="000000" w:sz="6" w:space="0"/>
            </w:tcBorders>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rPr>
            </w:pPr>
            <w:r>
              <w:rPr>
                <w:rFonts w:hint="default" w:ascii="Times New Roman" w:hAnsi="Times New Roman" w:eastAsia="宋体" w:cs="Times New Roman"/>
                <w:b/>
                <w:bCs/>
                <w:sz w:val="24"/>
                <w:szCs w:val="24"/>
              </w:rPr>
              <w:t>主要工程内容及规模：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w:t>
            </w:r>
            <w:r>
              <w:rPr>
                <w:rFonts w:hint="default" w:ascii="Times New Roman" w:hAnsi="Times New Roman" w:eastAsia="宋体" w:cs="Times New Roman"/>
                <w:sz w:val="24"/>
                <w:szCs w:val="24"/>
                <w:lang w:val="en-US" w:eastAsia="zh-CN"/>
              </w:rPr>
              <w:t>工程实际治理段总长8.3km，起于石口孚石坝（桩号17+900），终于红桥村下游（桩号25+000）。其中，东津河段治理长度7.72m；支流中溪和与东津河交汇处河道淤积严重，治理长度240m；支流桥头河弯道处冲刷严重，治理长度340m。主要包括集镇防洪工程、岸坡防护工程、河道清淤工程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color w:val="000000"/>
                <w:kern w:val="0"/>
                <w:sz w:val="24"/>
                <w:szCs w:val="24"/>
                <w:lang w:val="en-US" w:eastAsia="zh-CN" w:bidi="ar"/>
              </w:rPr>
              <w:t>（1）集镇防洪</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堤防工程布置在中溪集镇段（桩号18+456～20+324）左、右岸。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中溪集镇段（桩号18+456～20+324）河段，两岸均无堤防，本次在中溪集镇段（桩号 18+456～20+324）河段左、右岸布置堤防工程，堤线沿现状岸坎布置，不改变原河道宽度，堤防型式采用生态砌块+生态连锁块，通过左、右岸新建堤防工程，使中溪集镇段防洪达标。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 xml:space="preserve">（2）岸坡防护工程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kern w:val="0"/>
                <w:sz w:val="24"/>
                <w:szCs w:val="24"/>
                <w:lang w:val="en-US" w:eastAsia="zh-CN" w:bidi="ar"/>
              </w:rPr>
              <w:t>本次治理工程范围内两岸大多植被良好，特别是两岸现有的生长茂盛的竹林，在稳固岸坎、减少塌岸中起到了相当重要的作用，为节约工程投资，减少林木砍伐对生态环境的破坏，本次仅对沿线重点村落段、农田段岸坡不稳、易冲易塌段布置防冲固岸防护工程，同时对已有防护工程但工程有根基局部冲刷现象的护岸工程进行格宾石笼护脚加固。</w:t>
            </w:r>
          </w:p>
          <w:p>
            <w:pPr>
              <w:pStyle w:val="9"/>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000000"/>
                <w:spacing w:val="0"/>
                <w:w w:val="100"/>
                <w:position w:val="0"/>
                <w:sz w:val="24"/>
                <w:szCs w:val="24"/>
                <w:lang w:val="en-US" w:eastAsia="zh-CN"/>
              </w:rPr>
            </w:pPr>
            <w:r>
              <w:rPr>
                <w:rFonts w:hint="default" w:ascii="Times New Roman" w:hAnsi="Times New Roman" w:eastAsia="宋体" w:cs="Times New Roman"/>
                <w:color w:val="000000"/>
                <w:spacing w:val="0"/>
                <w:w w:val="100"/>
                <w:position w:val="0"/>
                <w:sz w:val="24"/>
                <w:szCs w:val="24"/>
                <w:lang w:val="en-US" w:eastAsia="zh-CN"/>
              </w:rPr>
              <w:t>（3）河道清淤工程</w:t>
            </w:r>
          </w:p>
          <w:p>
            <w:pPr>
              <w:pStyle w:val="9"/>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河道清淤工程位</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于石口村上游段（ZX0+000~20+780）、石口村段（21+630~22+100），其中石口村上游段470m，石口村段470m。</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本项目于2022年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月完</w:t>
            </w:r>
            <w:r>
              <w:rPr>
                <w:rFonts w:hint="default" w:ascii="Times New Roman" w:hAnsi="Times New Roman" w:eastAsia="宋体" w:cs="Times New Roman"/>
                <w:sz w:val="24"/>
                <w:szCs w:val="24"/>
                <w:lang w:val="en-US" w:eastAsia="zh-CN"/>
              </w:rPr>
              <w:t>成东津河石口至沙埠段河道治理工程。</w:t>
            </w:r>
            <w:r>
              <w:rPr>
                <w:rFonts w:hint="default" w:ascii="Times New Roman" w:hAnsi="Times New Roman" w:eastAsia="宋体" w:cs="Times New Roman"/>
                <w:kern w:val="2"/>
                <w:sz w:val="24"/>
                <w:szCs w:val="24"/>
                <w:lang w:val="en-US" w:eastAsia="zh-CN" w:bidi="ar-SA"/>
              </w:rPr>
              <w:t>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2022年4月宁国市水利局以公开招标的方式在宁国市中介超市公开，宁国市浚成环境检测有限公司以均价比选的方式中标该项目。2022年4月-7月，宁国市浚成环境检测有限公司组织技术人员对该项目现场进行实地勘查，同时进行走访调查并核实项目环境保护工作落实情况，编制完成《东津河石口至沙埠段河道治理工程项目竣工环境保护验收调查报告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kern w:val="2"/>
                <w:sz w:val="24"/>
                <w:szCs w:val="24"/>
                <w:lang w:val="en-US" w:eastAsia="zh-CN" w:bidi="ar-SA"/>
              </w:rPr>
              <w:t xml:space="preserve"> </w:t>
            </w:r>
          </w:p>
        </w:tc>
      </w:tr>
    </w:tbl>
    <w:p>
      <w:pPr>
        <w:pStyle w:val="34"/>
        <w:spacing w:line="360" w:lineRule="auto"/>
        <w:rPr>
          <w:rFonts w:hint="default" w:ascii="Times New Roman" w:hAnsi="Times New Roman" w:eastAsia="宋体" w:cs="Times New Roman"/>
          <w:sz w:val="24"/>
          <w:szCs w:val="24"/>
        </w:rPr>
        <w:sectPr>
          <w:pgSz w:w="11910" w:h="16840"/>
          <w:pgMar w:top="1440" w:right="1803" w:bottom="1440" w:left="1803" w:header="863" w:footer="996" w:gutter="0"/>
          <w:pgBorders>
            <w:top w:val="none" w:sz="0" w:space="0"/>
            <w:left w:val="none" w:sz="0" w:space="0"/>
            <w:bottom w:val="none" w:sz="0" w:space="0"/>
            <w:right w:val="none" w:sz="0" w:space="0"/>
          </w:pgBorders>
          <w:cols w:space="720" w:num="1"/>
        </w:sectPr>
      </w:pPr>
    </w:p>
    <w:tbl>
      <w:tblPr>
        <w:tblStyle w:val="20"/>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4" w:hRule="atLeast"/>
        </w:trPr>
        <w:tc>
          <w:tcPr>
            <w:tcW w:w="5000" w:type="pct"/>
          </w:tcPr>
          <w:p>
            <w:pPr>
              <w:pStyle w:val="34"/>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实际工程量及工程建设变化情况</w:t>
            </w:r>
          </w:p>
          <w:tbl>
            <w:tblPr>
              <w:tblStyle w:val="20"/>
              <w:tblW w:w="83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665"/>
              <w:gridCol w:w="735"/>
              <w:gridCol w:w="2949"/>
              <w:gridCol w:w="2823"/>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tcBorders>
                    <w:left w:val="single" w:color="auto" w:sz="0"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工程</w:t>
                  </w:r>
                  <w:r>
                    <w:rPr>
                      <w:rFonts w:hint="default" w:ascii="Times New Roman" w:hAnsi="Times New Roman" w:cs="Times New Roman"/>
                      <w:sz w:val="21"/>
                      <w:szCs w:val="21"/>
                      <w:lang w:val="en-US" w:eastAsia="zh-CN"/>
                    </w:rPr>
                    <w:t>类别</w:t>
                  </w:r>
                </w:p>
              </w:tc>
              <w:tc>
                <w:tcPr>
                  <w:tcW w:w="399" w:type="pct"/>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2211" w:type="pct"/>
                  <w:gridSpan w:val="2"/>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694" w:type="pct"/>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398" w:type="pct"/>
                  <w:tcBorders>
                    <w:right w:val="single" w:color="auto" w:sz="12"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restar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Cs w:val="21"/>
                      <w:lang w:val="en-US" w:eastAsia="zh-CN"/>
                    </w:rPr>
                    <w:t>集镇防洪工程</w:t>
                  </w:r>
                </w:p>
              </w:tc>
              <w:tc>
                <w:tcPr>
                  <w:tcW w:w="22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中溪集镇段（桩号18+456-20+283）河段左、右岸布置是防工程，堤线沿现状岸坎布置，不改变原河道宽度，堤防形式采取生态砌块+生态连锁块，新建堤防3741m</w:t>
                  </w:r>
                </w:p>
              </w:tc>
              <w:tc>
                <w:tcPr>
                  <w:tcW w:w="1694"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中溪镇段（K18+456～K20+324）河段，两岸均无堤防，且两岸现状岸坎不满足20年一遇防洪标准，本次在中溪镇段（K18+456～K20+324）河段左、右岸布置堤防工程，堤线沿现状岸坎布置，不改变原河道宽度，堤防型式采用生态砌块+生态连锁块，通过左、右岸新建堤防工程，使中溪镇段防洪达标</w:t>
                  </w:r>
                  <w:r>
                    <w:rPr>
                      <w:rFonts w:hint="eastAsia" w:ascii="Times New Roman" w:hAnsi="Times New Roman" w:eastAsia="宋体" w:cs="Times New Roman"/>
                      <w:sz w:val="21"/>
                      <w:szCs w:val="21"/>
                      <w:lang w:val="en-US" w:eastAsia="zh-CN"/>
                    </w:rPr>
                    <w:t>。</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岸坡防护工程</w:t>
                  </w:r>
                </w:p>
              </w:tc>
              <w:tc>
                <w:tcPr>
                  <w:tcW w:w="22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青山段左岸新建重力式挡墙343m，红桥段右岸新建重力式挡墙117m，浮石畈段右岸新建格宾石笼护脚515m。</w:t>
                  </w:r>
                </w:p>
              </w:tc>
              <w:tc>
                <w:tcPr>
                  <w:tcW w:w="1694" w:type="pct"/>
                  <w:noWrap w:val="0"/>
                  <w:vAlign w:val="center"/>
                </w:tcPr>
                <w:p>
                  <w:pPr>
                    <w:pStyle w:val="41"/>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对沿线重点村落段、农田段岸坡不稳、易冲易塌段布置防冲固岸防护工程，同时对已有防护工程但工程有根基局部冲刷现象的护岸工程进行格宾石笼护脚加固。</w:t>
                  </w:r>
                </w:p>
                <w:p>
                  <w:pPr>
                    <w:pStyle w:val="41"/>
                    <w:keepNext w:val="0"/>
                    <w:keepLines w:val="0"/>
                    <w:pageBreakBefore w:val="0"/>
                    <w:widowControl w:val="0"/>
                    <w:kinsoku w:val="0"/>
                    <w:wordWrap/>
                    <w:overflowPunct/>
                    <w:topLinePunct w:val="0"/>
                    <w:autoSpaceDE/>
                    <w:autoSpaceDN/>
                    <w:bidi w:val="0"/>
                    <w:adjustRightInd/>
                    <w:snapToGrid/>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b w:val="0"/>
                      <w:bCs w:val="0"/>
                      <w:color w:val="000000"/>
                      <w:lang w:val="en-US" w:eastAsia="zh-CN"/>
                    </w:rPr>
                    <w:t>浮石畈防护工程（K21+120.55-K21+283.08）取消施工</w:t>
                  </w:r>
                  <w:r>
                    <w:rPr>
                      <w:rFonts w:hint="eastAsia" w:ascii="Times New Roman" w:hAnsi="Times New Roman" w:cs="Times New Roman"/>
                      <w:b w:val="0"/>
                      <w:bCs w:val="0"/>
                      <w:color w:val="000000"/>
                      <w:lang w:val="en-US" w:eastAsia="zh-CN"/>
                    </w:rPr>
                    <w:t>。</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河道疏浚工程</w:t>
                  </w:r>
                </w:p>
              </w:tc>
              <w:tc>
                <w:tcPr>
                  <w:tcW w:w="22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河道清淤工程位于石口村上游段（ZX0+000-20+780）、石口村段（21+630-22+100），其中石口村上游段470m，石口村段470m。</w:t>
                  </w:r>
                </w:p>
              </w:tc>
              <w:tc>
                <w:tcPr>
                  <w:tcW w:w="1694"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bCs/>
                      <w:color w:val="auto"/>
                      <w:szCs w:val="21"/>
                      <w:lang w:val="en-US" w:eastAsia="zh-CN"/>
                    </w:rPr>
                    <w:t>对石口村人口密集的重要集镇段及河道内堰坝处淤积严重的河</w:t>
                  </w:r>
                  <w:r>
                    <w:rPr>
                      <w:rFonts w:hint="default" w:ascii="Times New Roman" w:hAnsi="Times New Roman" w:eastAsia="宋体" w:cs="Times New Roman"/>
                      <w:bCs/>
                      <w:color w:val="auto"/>
                      <w:sz w:val="21"/>
                      <w:szCs w:val="21"/>
                      <w:lang w:val="en-US" w:eastAsia="zh-CN"/>
                    </w:rPr>
                    <w:t>段开展清淤设计，减轻石口村河段洪水灾害、恢复堰坝上下游河床行洪能力。石口村上游清障长度</w:t>
                  </w:r>
                  <w:r>
                    <w:rPr>
                      <w:rFonts w:hint="default" w:ascii="Times New Roman" w:hAnsi="Times New Roman" w:cs="Times New Roman"/>
                      <w:sz w:val="21"/>
                      <w:szCs w:val="21"/>
                    </w:rPr>
                    <w:t>470</w:t>
                  </w:r>
                  <w:r>
                    <w:rPr>
                      <w:rFonts w:hint="default" w:ascii="Times New Roman" w:hAnsi="Times New Roman" w:eastAsia="宋体" w:cs="Times New Roman"/>
                      <w:bCs/>
                      <w:color w:val="auto"/>
                      <w:sz w:val="21"/>
                      <w:szCs w:val="21"/>
                      <w:lang w:val="en-US" w:eastAsia="zh-CN"/>
                    </w:rPr>
                    <w:t>m，</w:t>
                  </w:r>
                  <w:r>
                    <w:rPr>
                      <w:rFonts w:hint="default" w:ascii="Times New Roman" w:hAnsi="Times New Roman" w:cs="Times New Roman"/>
                      <w:sz w:val="21"/>
                      <w:szCs w:val="21"/>
                    </w:rPr>
                    <w:t>石口村</w:t>
                  </w:r>
                  <w:r>
                    <w:rPr>
                      <w:rFonts w:hint="default" w:ascii="Times New Roman" w:hAnsi="Times New Roman" w:eastAsia="宋体" w:cs="Times New Roman"/>
                      <w:bCs/>
                      <w:color w:val="auto"/>
                      <w:sz w:val="21"/>
                      <w:szCs w:val="21"/>
                      <w:lang w:val="en-US" w:eastAsia="zh-CN"/>
                    </w:rPr>
                    <w:t>清障长度</w:t>
                  </w:r>
                  <w:r>
                    <w:rPr>
                      <w:rFonts w:hint="default" w:ascii="Times New Roman" w:hAnsi="Times New Roman" w:cs="Times New Roman"/>
                      <w:sz w:val="21"/>
                      <w:szCs w:val="21"/>
                    </w:rPr>
                    <w:t>470</w:t>
                  </w:r>
                  <w:r>
                    <w:rPr>
                      <w:rFonts w:hint="default" w:ascii="Times New Roman" w:hAnsi="Times New Roman" w:eastAsia="宋体" w:cs="Times New Roman"/>
                      <w:bCs/>
                      <w:color w:val="auto"/>
                      <w:sz w:val="21"/>
                      <w:szCs w:val="21"/>
                      <w:lang w:val="en-US" w:eastAsia="zh-CN"/>
                    </w:rPr>
                    <w:t>m。</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lang w:eastAsia="zh-CN"/>
                    </w:rPr>
                  </w:pPr>
                  <w:r>
                    <w:rPr>
                      <w:rFonts w:hint="default" w:ascii="Times New Roman" w:hAnsi="Times New Roman" w:cs="Times New Roman"/>
                      <w:lang w:eastAsia="zh-CN"/>
                    </w:rPr>
                    <w:t>辅助工程</w:t>
                  </w: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施工导流</w:t>
                  </w:r>
                </w:p>
              </w:tc>
              <w:tc>
                <w:tcPr>
                  <w:tcW w:w="22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采取土石围堰，就地取材，围堰顶宽4m，迎水面坡比1:1.8，背水面坡比1:1.5。堰体利用施工开挖砂石作为填筑料，并在围堰上游面采用土工膜进行防渗。</w:t>
                  </w:r>
                </w:p>
              </w:tc>
              <w:tc>
                <w:tcPr>
                  <w:tcW w:w="1694"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eastAsia="zh-CN"/>
                    </w:rPr>
                    <w:t>施工结束恢复原状。</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施工场地</w:t>
                  </w:r>
                </w:p>
              </w:tc>
              <w:tc>
                <w:tcPr>
                  <w:tcW w:w="22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项目共设2处施工工区。在工区内布置1处施工营地，施工营地内施工工厂设施由临时堆场、机械停放场等组成。</w:t>
                  </w:r>
                </w:p>
              </w:tc>
              <w:tc>
                <w:tcPr>
                  <w:tcW w:w="1694"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Cs w:val="21"/>
                      <w:lang w:eastAsia="zh-CN"/>
                    </w:rPr>
                    <w:t>施工结束恢复原状。</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临时道路</w:t>
                  </w:r>
                </w:p>
              </w:tc>
              <w:tc>
                <w:tcPr>
                  <w:tcW w:w="22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置5条干线道路，总长4.83km，用于连接现在道路、施工营地、施工工作面。道路路宽3.5m，路基宽度4.5m，碎石土路结构，另布置总长1.5m的施工支线路，用于连接干线道路至临时工程施工工作面，路面宽度3.5m，路基宽度4.5m，改善土路面结构。</w:t>
                  </w:r>
                </w:p>
              </w:tc>
              <w:tc>
                <w:tcPr>
                  <w:tcW w:w="1694"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施工结束恢复原状。</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9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39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临时堆土场</w:t>
                  </w:r>
                </w:p>
              </w:tc>
              <w:tc>
                <w:tcPr>
                  <w:tcW w:w="22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设置两处临时堆土场，堆土场位于施工场地内，占地面积约为700m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1694" w:type="pct"/>
                  <w:noWrap w:val="0"/>
                  <w:vAlign w:val="center"/>
                </w:tcPr>
                <w:p>
                  <w:pPr>
                    <w:keepNext w:val="0"/>
                    <w:keepLines w:val="0"/>
                    <w:pageBreakBefore w:val="0"/>
                    <w:widowControl w:val="0"/>
                    <w:tabs>
                      <w:tab w:val="left" w:pos="3255"/>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施工结束恢复原状。</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restart"/>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399" w:type="pct"/>
                  <w:vMerge w:val="restart"/>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p>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施</w:t>
                  </w:r>
                </w:p>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工</w:t>
                  </w:r>
                </w:p>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期</w:t>
                  </w:r>
                </w:p>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环</w:t>
                  </w:r>
                </w:p>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保</w:t>
                  </w:r>
                </w:p>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措</w:t>
                  </w:r>
                </w:p>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kern w:val="2"/>
                      <w:sz w:val="21"/>
                      <w:szCs w:val="21"/>
                      <w:lang w:val="en-US" w:eastAsia="zh-CN" w:bidi="ar-SA"/>
                    </w:rPr>
                    <w:t>施</w:t>
                  </w:r>
                </w:p>
              </w:tc>
              <w:tc>
                <w:tcPr>
                  <w:tcW w:w="44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施工期污废水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施工生活污水：化粪池预处理后，委托周边住户清运用作农田施肥。</w:t>
                  </w:r>
                </w:p>
              </w:tc>
              <w:tc>
                <w:tcPr>
                  <w:tcW w:w="169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w w:val="100"/>
                      <w:position w:val="0"/>
                      <w:sz w:val="21"/>
                      <w:szCs w:val="21"/>
                      <w:lang w:val="zh-CN" w:eastAsia="zh-CN" w:bidi="zh-CN"/>
                    </w:rPr>
                    <w:t>生活污水</w:t>
                  </w:r>
                  <w:r>
                    <w:rPr>
                      <w:rFonts w:hint="eastAsia" w:ascii="Times New Roman" w:hAnsi="Times New Roman" w:eastAsia="宋体" w:cs="Times New Roman"/>
                      <w:spacing w:val="0"/>
                      <w:w w:val="100"/>
                      <w:position w:val="0"/>
                      <w:sz w:val="21"/>
                      <w:szCs w:val="21"/>
                      <w:lang w:val="zh-CN" w:eastAsia="zh-CN" w:bidi="zh-CN"/>
                    </w:rPr>
                    <w:t>依托周边农户化粪池预处理，用于周边农田施肥；</w:t>
                  </w:r>
                  <w:r>
                    <w:rPr>
                      <w:rFonts w:hint="default" w:ascii="Times New Roman" w:hAnsi="Times New Roman" w:eastAsia="宋体" w:cs="Times New Roman"/>
                      <w:spacing w:val="0"/>
                      <w:w w:val="100"/>
                      <w:position w:val="0"/>
                      <w:sz w:val="21"/>
                      <w:szCs w:val="21"/>
                      <w:lang w:val="zh-CN" w:eastAsia="zh-CN" w:bidi="zh-CN"/>
                    </w:rPr>
                    <w:t>机械维修、冲洗废水建设油水分离器，基坑废水中和沉淀处理达标后，回用于施工场地、道路洒水抑尘和施工生产</w:t>
                  </w:r>
                  <w:r>
                    <w:rPr>
                      <w:rFonts w:hint="eastAsia" w:ascii="Times New Roman" w:hAnsi="Times New Roman" w:eastAsia="宋体" w:cs="Times New Roman"/>
                      <w:spacing w:val="0"/>
                      <w:w w:val="100"/>
                      <w:position w:val="0"/>
                      <w:sz w:val="21"/>
                      <w:szCs w:val="21"/>
                      <w:lang w:val="zh-CN" w:eastAsia="zh-CN" w:bidi="zh-CN"/>
                    </w:rPr>
                    <w:t>；</w:t>
                  </w:r>
                  <w:r>
                    <w:rPr>
                      <w:rFonts w:hint="eastAsia" w:ascii="Times New Roman" w:hAnsi="Times New Roman" w:eastAsia="宋体" w:cs="Times New Roman"/>
                      <w:sz w:val="21"/>
                      <w:szCs w:val="21"/>
                      <w:lang w:val="en-US" w:eastAsia="zh-CN"/>
                    </w:rPr>
                    <w:t>施工期废水不外排。</w:t>
                  </w:r>
                </w:p>
              </w:tc>
              <w:tc>
                <w:tcPr>
                  <w:tcW w:w="398" w:type="pct"/>
                  <w:vMerge w:val="restar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rPr>
                  </w:pPr>
                </w:p>
              </w:tc>
              <w:tc>
                <w:tcPr>
                  <w:tcW w:w="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rPr>
                  </w:pPr>
                </w:p>
              </w:tc>
              <w:tc>
                <w:tcPr>
                  <w:tcW w:w="44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工程机械含油废水：含油废水处理系统。</w:t>
                  </w:r>
                </w:p>
              </w:tc>
              <w:tc>
                <w:tcPr>
                  <w:tcW w:w="16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398" w:type="pct"/>
                  <w:vMerge w:val="continue"/>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44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基坑排水：沉淀池+中和剂。</w:t>
                  </w:r>
                </w:p>
              </w:tc>
              <w:tc>
                <w:tcPr>
                  <w:tcW w:w="169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398" w:type="pct"/>
                  <w:vMerge w:val="continue"/>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w:t>
                  </w: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施工生产废水及生活污水不得随意排放，加强污废水处理设施的防渗，防止施工机械的跑、冒、滴、漏，避免施工活动对地下水水质产生污染。</w:t>
                  </w:r>
                </w:p>
              </w:tc>
              <w:tc>
                <w:tcPr>
                  <w:tcW w:w="1694" w:type="pc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施工期废水不外排。</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39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大气污染防治措施</w:t>
                  </w: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实行6个百分百：干燥晴朗天气施工道路、施工区每天洒水降尘，防尘围挡。</w:t>
                  </w:r>
                </w:p>
              </w:tc>
              <w:tc>
                <w:tcPr>
                  <w:tcW w:w="1694" w:type="pct"/>
                  <w:noWrap w:val="0"/>
                  <w:vAlign w:val="center"/>
                </w:tcPr>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①建设单位将防治扬尘污染费用列入工程造价，工程项目开工前，需安装视频监控设施、监管人员到位及备案扬尘污染防治方案。</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②施工场地采取“围、盖、洒、洗”等措施，严禁敞开式作业；对施工场地区域周围设置连续、密闭的硬质围挡， 高度不得低于1.8m；施工现场出入口、施工临时道路、施工生产生活区采取硬化处理措施；施工场地出入口应当设置车辆清洗专用场地，配备车辆冲洗设施。</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③施工现场土方开挖后应尽快回填，不能及时回填的裸露场地，应采取洒水、覆盖等防尘措施；土料堆积过程中，堆积边坡角度不宜过大，弃土及时夯实。</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④施工现场建筑材料实行集中、分类堆放。采取覆盖等防尘措施，不得露天堆放；施工工地围挡外禁止堆放施工材料、建筑垃圾和工程渣土。</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⑤施工现场采取洒水降尘措施，每个施工区配备1台洒水设备，洒水频次以施工现场无明显扬尘为准，冬春季晴天一般洒水次数在4～6次，夏季一般洒水8～10次。</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eastAsia" w:ascii="Times New Roman" w:hAnsi="Times New Roman"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⑥建筑物拆除作业实行湿法作业，缩短起尘操作时间。建筑物拆除后应当及时清运，不能及时清运的，应当采取有效覆盖措施。</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⑦本工程不新建大型混凝土搅拌站，小型混凝土搅拌场所和砼预制件场应避开环境敏感区，远离居民聚居，并采用封闭、洒水、遮盖等降尘措施。</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0"/>
                      <w:w w:val="100"/>
                      <w:position w:val="0"/>
                      <w:sz w:val="21"/>
                      <w:szCs w:val="21"/>
                      <w:lang w:val="zh-CN" w:eastAsia="zh-CN" w:bidi="zh-CN"/>
                    </w:rPr>
                    <w:t>⑧加强“三车”管理，土方运输车、混凝土搅拌车、物料运输车辆上路前必须进行车身、轮胎冲洗，物料遮盖，确保无抛撒滴漏。</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399" w:type="pct"/>
                  <w:vMerge w:val="continue"/>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水生生态</w:t>
                  </w: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对底栖动物恢复与补偿、对鱼类恢复与补偿。</w:t>
                  </w:r>
                </w:p>
              </w:tc>
              <w:tc>
                <w:tcPr>
                  <w:tcW w:w="1694" w:type="pct"/>
                  <w:vMerge w:val="restart"/>
                  <w:noWrap w:val="0"/>
                  <w:vAlign w:val="center"/>
                </w:tcPr>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①植被恢复</w:t>
                  </w:r>
                  <w:r>
                    <w:rPr>
                      <w:rFonts w:hint="eastAsia" w:ascii="Times New Roman" w:hAnsi="Times New Roman" w:eastAsia="宋体" w:cs="Times New Roman"/>
                      <w:spacing w:val="0"/>
                      <w:w w:val="100"/>
                      <w:position w:val="0"/>
                      <w:sz w:val="21"/>
                      <w:szCs w:val="21"/>
                      <w:lang w:val="zh-CN" w:eastAsia="zh-CN" w:bidi="zh-CN"/>
                    </w:rPr>
                    <w:t>。</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②取弃土场表土收集，及时复耕。</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③东津河河道底栖生境修复。投放底栖动物</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 xml:space="preserve">④生态保护宣传培训，设置警示宣传牌 </w:t>
                  </w:r>
                  <w:r>
                    <w:rPr>
                      <w:rFonts w:hint="eastAsia" w:ascii="Times New Roman" w:hAnsi="Times New Roman" w:eastAsia="宋体" w:cs="Times New Roman"/>
                      <w:spacing w:val="0"/>
                      <w:w w:val="100"/>
                      <w:position w:val="0"/>
                      <w:sz w:val="21"/>
                      <w:szCs w:val="21"/>
                      <w:lang w:val="zh-CN" w:eastAsia="zh-CN" w:bidi="zh-CN"/>
                    </w:rPr>
                    <w:t>。</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w w:val="100"/>
                      <w:position w:val="0"/>
                      <w:sz w:val="21"/>
                      <w:szCs w:val="21"/>
                      <w:lang w:val="zh-CN" w:eastAsia="zh-CN" w:bidi="zh-CN"/>
                    </w:rPr>
                    <w:t>⑤施工人员管理，严禁施工人员猎捕蛙类、蛇类、兽类、鸟类等野生动物。</w:t>
                  </w:r>
                </w:p>
              </w:tc>
              <w:tc>
                <w:tcPr>
                  <w:tcW w:w="398" w:type="pct"/>
                  <w:vMerge w:val="restar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399" w:type="pct"/>
                  <w:vMerge w:val="continue"/>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陆生植物</w:t>
                  </w: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（1）建议在坡面种植适宜的植物，待固坡植物生长后，将护坡砖覆盖，即能达到固坡防冲的目的，又能绿化岸坡，使岸坡保持原来的植被形态。</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工程施工结束后，应及时对临时占地进行植被恢复。工程临时占用的植被多为灌草丛，在“适地适草”的原则下，草种应选择当地的优良土著物种，保证绿化栽植的成活率。把剥离的表层熟土回填至周围的植被恢复区内，用作绿化带的覆土改造。</w:t>
                  </w:r>
                </w:p>
              </w:tc>
              <w:tc>
                <w:tcPr>
                  <w:tcW w:w="1694" w:type="pct"/>
                  <w:vMerge w:val="continue"/>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sz w:val="21"/>
                      <w:szCs w:val="21"/>
                      <w:lang w:val="en-US" w:eastAsia="zh-CN"/>
                    </w:rPr>
                  </w:pPr>
                </w:p>
              </w:tc>
              <w:tc>
                <w:tcPr>
                  <w:tcW w:w="398" w:type="pct"/>
                  <w:vMerge w:val="continue"/>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399" w:type="pct"/>
                  <w:vMerge w:val="continue"/>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sz w:val="21"/>
                      <w:szCs w:val="21"/>
                      <w:lang w:val="en-US" w:eastAsia="zh-CN"/>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噪声防治措施</w:t>
                  </w: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设置警示牌、限速牌，合理安排施工时间。距离较近的敏感点设置移动隔离声屏障。</w:t>
                  </w:r>
                </w:p>
              </w:tc>
              <w:tc>
                <w:tcPr>
                  <w:tcW w:w="1694" w:type="pct"/>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pacing w:val="0"/>
                      <w:w w:val="100"/>
                      <w:position w:val="0"/>
                      <w:sz w:val="21"/>
                      <w:szCs w:val="21"/>
                      <w:lang w:val="zh-CN" w:eastAsia="zh-CN" w:bidi="zh-CN"/>
                    </w:rPr>
                    <w:t>施工区远离敏感点设置，合理安排施工时间，选用低噪设备，距离较近的敏感点设置声屏障，车辆限速禁鸣，设置警示牌限速牌。</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Merge w:val="continue"/>
                  <w:tcBorders>
                    <w:left w:val="single" w:color="auto" w:sz="4" w:space="0"/>
                  </w:tcBorders>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399" w:type="pct"/>
                  <w:vMerge w:val="continue"/>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17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施工营地设置垃圾箱，生活垃圾委托环卫部门清运，弃渣运送至指定弃土场。危险废物由各施工工区用专用危险废物储存容器集中收集，并交由有危险废物处置资质的专门机构进行安全处置。</w:t>
                  </w:r>
                </w:p>
              </w:tc>
              <w:tc>
                <w:tcPr>
                  <w:tcW w:w="1694" w:type="pct"/>
                  <w:noWrap w:val="0"/>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pacing w:val="0"/>
                      <w:w w:val="100"/>
                      <w:position w:val="0"/>
                      <w:sz w:val="21"/>
                      <w:szCs w:val="21"/>
                      <w:lang w:val="zh-CN" w:eastAsia="zh-CN" w:bidi="zh-CN"/>
                    </w:rPr>
                    <w:t>弃土运至相应施工区的弃土区，弃土堆置期间进行定期洒水，防止风吹扬尘</w:t>
                  </w:r>
                  <w:r>
                    <w:rPr>
                      <w:rFonts w:hint="eastAsia" w:ascii="Times New Roman" w:hAnsi="Times New Roman" w:eastAsia="宋体" w:cs="Times New Roman"/>
                      <w:spacing w:val="0"/>
                      <w:w w:val="100"/>
                      <w:position w:val="0"/>
                      <w:sz w:val="21"/>
                      <w:szCs w:val="21"/>
                      <w:lang w:val="zh-CN" w:eastAsia="zh-CN" w:bidi="zh-CN"/>
                    </w:rPr>
                    <w:t>。</w:t>
                  </w:r>
                  <w:r>
                    <w:rPr>
                      <w:rFonts w:hint="default" w:ascii="Times New Roman" w:hAnsi="Times New Roman" w:eastAsia="宋体" w:cs="Times New Roman"/>
                      <w:spacing w:val="0"/>
                      <w:w w:val="100"/>
                      <w:position w:val="0"/>
                      <w:sz w:val="21"/>
                      <w:szCs w:val="21"/>
                      <w:lang w:val="zh-CN" w:eastAsia="zh-CN" w:bidi="zh-CN"/>
                    </w:rPr>
                    <w:t>堆放过程中要注意控制堆放高度，并采取设立挡栏等措施防止其被冲刷流失。建筑垃圾分类堆放，能回收利用的尽量回收利用。一部分通过在整治河道沿岸坑塘固基填埋进行处置，一部分用于施工道路垫层填筑，剩余少量工程不能再利用的建筑垃圾，按产生地由市容行政管理部门指定地点进行堆放。</w:t>
                  </w:r>
                  <w:r>
                    <w:rPr>
                      <w:rFonts w:hint="eastAsia" w:ascii="Times New Roman" w:hAnsi="Times New Roman" w:eastAsia="宋体" w:cs="Times New Roman"/>
                      <w:spacing w:val="0"/>
                      <w:w w:val="100"/>
                      <w:position w:val="0"/>
                      <w:sz w:val="21"/>
                      <w:szCs w:val="21"/>
                      <w:lang w:val="zh-CN" w:eastAsia="zh-CN" w:bidi="zh-CN"/>
                    </w:rPr>
                    <w:t>生活垃圾</w:t>
                  </w:r>
                  <w:r>
                    <w:rPr>
                      <w:rFonts w:hint="default" w:ascii="Times New Roman" w:hAnsi="Times New Roman" w:eastAsia="宋体" w:cs="Times New Roman"/>
                      <w:spacing w:val="0"/>
                      <w:w w:val="100"/>
                      <w:position w:val="0"/>
                      <w:sz w:val="21"/>
                      <w:szCs w:val="21"/>
                      <w:lang w:val="zh-CN" w:eastAsia="zh-CN" w:bidi="zh-CN"/>
                    </w:rPr>
                    <w:t>收集后委托环卫部门定期清运</w:t>
                  </w:r>
                  <w:r>
                    <w:rPr>
                      <w:rFonts w:hint="eastAsia" w:ascii="Times New Roman" w:hAnsi="Times New Roman" w:eastAsia="宋体" w:cs="Times New Roman"/>
                      <w:spacing w:val="0"/>
                      <w:w w:val="100"/>
                      <w:position w:val="0"/>
                      <w:sz w:val="21"/>
                      <w:szCs w:val="21"/>
                      <w:lang w:val="zh-CN" w:eastAsia="zh-CN" w:bidi="zh-CN"/>
                    </w:rPr>
                    <w:t>。危险废物</w:t>
                  </w:r>
                  <w:r>
                    <w:rPr>
                      <w:rFonts w:hint="default" w:ascii="Times New Roman" w:hAnsi="Times New Roman" w:eastAsia="宋体" w:cs="Times New Roman"/>
                      <w:spacing w:val="0"/>
                      <w:w w:val="100"/>
                      <w:position w:val="0"/>
                      <w:sz w:val="21"/>
                      <w:szCs w:val="21"/>
                      <w:lang w:val="zh-CN" w:eastAsia="zh-CN" w:bidi="zh-CN"/>
                    </w:rPr>
                    <w:t>由各施工区用专用危险废物储存容器集中收集，并交由有危险废物处置资质的专门机构进行安全处置。</w:t>
                  </w:r>
                </w:p>
              </w:tc>
              <w:tc>
                <w:tcPr>
                  <w:tcW w:w="398"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bl>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工程主要变更及影响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一般工程变更</w:t>
            </w:r>
            <w:r>
              <w:rPr>
                <w:rFonts w:hint="eastAsia" w:ascii="Times New Roman" w:hAnsi="Times New Roman" w:eastAsia="宋体" w:cs="Times New Roman"/>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（1）浮石畈防护工程（K21+120.55-K21+283.08）取消施工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需对边坡进行开挖，开挖线紧贴厂区围墙，原厂区围墙基础埋深较浅，可能造成围墙坍塌。若将整体线型外移，需将开挖线移至现状边坡线以外，将侵占河道3～4m，缩小河道行洪断面，影响泄洪。</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根据《安徽省2021年河湖长制（进驻式）督查工作方案》，2021年9月，省水利厅第十二督察组来我市进督查，反馈“关于东津河石口段凤凰塑料粒子厂疑似侵占河道管理范围”的问题，中溪镇政府按照整改要求提交了《东津河石口段省河湖长制督查反馈问题专项整改方案》，整改方案中提出了：项目后续建设不得占用河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经过业主、设计、监理、施工单位协商一致：取消该段施工。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（2）石口大桥增加格宾石笼护岸和清淤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石口大桥左岸两跨桥孔淤积严重，影响河道泄洪，根据中溪镇人民政府请求，结合工程现状，经过业主、设计、监理、施工单位协商一致：对石口大桥左岸2跨桥孔及上下游(K21+584.59～K22+035.28)进行清淤，并对该段河岸(土堤)采用格宾石笼护岸。</w:t>
            </w:r>
          </w:p>
          <w:p>
            <w:pPr>
              <w:pStyle w:val="34"/>
              <w:spacing w:line="360" w:lineRule="auto"/>
              <w:ind w:firstLine="420" w:firstLineChars="200"/>
              <w:rPr>
                <w:rFonts w:hint="default" w:ascii="Times New Roman" w:hAnsi="Times New Roman" w:eastAsia="宋体" w:cs="Times New Roman"/>
              </w:rPr>
            </w:pPr>
          </w:p>
        </w:tc>
      </w:tr>
    </w:tbl>
    <w:p>
      <w:pPr>
        <w:spacing w:line="374" w:lineRule="exact"/>
        <w:rPr>
          <w:rFonts w:hint="default" w:ascii="Times New Roman" w:hAnsi="Times New Roman" w:eastAsia="宋体" w:cs="Times New Roman"/>
        </w:rPr>
        <w:sectPr>
          <w:pgSz w:w="11910" w:h="16840"/>
          <w:pgMar w:top="1440" w:right="1803" w:bottom="1440" w:left="1803" w:header="863" w:footer="996" w:gutter="0"/>
          <w:pgBorders>
            <w:top w:val="none" w:sz="0" w:space="0"/>
            <w:left w:val="none" w:sz="0" w:space="0"/>
            <w:bottom w:val="none" w:sz="0" w:space="0"/>
            <w:right w:val="none" w:sz="0" w:space="0"/>
          </w:pgBorders>
          <w:cols w:space="720" w:num="1"/>
        </w:sectPr>
      </w:pPr>
    </w:p>
    <w:p>
      <w:pPr>
        <w:pStyle w:val="9"/>
        <w:spacing w:before="16"/>
        <w:rPr>
          <w:rFonts w:hint="default" w:ascii="Times New Roman" w:hAnsi="Times New Roman" w:eastAsia="宋体" w:cs="Times New Roman"/>
          <w:sz w:val="2"/>
        </w:rPr>
      </w:pPr>
    </w:p>
    <w:tbl>
      <w:tblPr>
        <w:tblStyle w:val="2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5000" w:type="pct"/>
            <w:vAlign w:val="top"/>
          </w:tcPr>
          <w:p>
            <w:pPr>
              <w:pStyle w:val="34"/>
              <w:spacing w:line="360" w:lineRule="auto"/>
              <w:ind w:left="107"/>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生产工艺流程</w:t>
            </w:r>
          </w:p>
          <w:p>
            <w:pPr>
              <w:pStyle w:val="34"/>
              <w:numPr>
                <w:ilvl w:val="0"/>
                <w:numId w:val="3"/>
              </w:numPr>
              <w:spacing w:line="360" w:lineRule="auto"/>
              <w:ind w:left="-60" w:leftChars="0" w:firstLine="480" w:firstLine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集镇防洪工程</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堤防采用C25埋石混凝土直立式挡墙，挡墙背坡采用开挖料填筑，挡墙背坡采用开挖料填筑，挡墙采用C25埋石混凝土，顶宽0.5m～0.7m，迎水面边坡1:0.4，背水面边坡直立，挡墙高度3.5m～6.0m，基础采用C25埋石混凝土，高度1.0m～1.5m，宽度2.40m～3.80m，置于稍密卵砾石上，并置于设计冲刷深度以下0.5m，埋置深度约1.5m。</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工程共计新建堤防3741m，其中中溪镇段（18+456~20+324）左岸1864m，右岸1877m本项目堤防型式采用生态砌块+生态连锁块。                </w:t>
            </w:r>
          </w:p>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2、岸坡防护工程</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kern w:val="0"/>
                <w:sz w:val="24"/>
                <w:szCs w:val="24"/>
                <w:lang w:val="en-US" w:eastAsia="zh-CN" w:bidi="ar"/>
              </w:rPr>
              <w:t>河道岸坡采用生态砌块挡墙+生态连锁块护坡，挡墙临河侧向里依次为生态砌块框格（内部填充碎石或植生土），土工布，300mm宽砂砾石，坡比1:0.5。生态砌块上接0.12m厚连锁块护坡，砌块孔中回填种植土并植草，每隔20m设调节缝一道，连锁块下设置10cm厚的砂砾石垫层，垫层下设置土工布，并在坡顶设置C20预制混凝土压顶。挡墙基础为埋石混凝土（埋石率25％），基础宽1.6m，高1.2m，沿河道纵向每10m分缝。设计河底高程为：77.02m～74.98m；生态连锁</w:t>
            </w:r>
            <w:r>
              <w:rPr>
                <w:rFonts w:hint="default" w:ascii="Times New Roman" w:hAnsi="Times New Roman" w:eastAsia="宋体" w:cs="Times New Roman"/>
                <w:sz w:val="24"/>
                <w:szCs w:val="24"/>
                <w:lang w:val="en-US" w:eastAsia="zh-CN"/>
              </w:rPr>
              <w:t>块护坡顶高程为：83.20m～81.47m，挡墙最大高度为8.00m（含基础厚度）。工程共计岸坡防护975m，其中青山段左岸新建重力式挡墙343m，红桥段右岸新建重力式挡墙117m，浮石畈段右岸新建格宾石笼护脚515m。</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3、河道疏浚工程</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清淤工程选择在枯水期进行施工，采用挖机进行清淤，弃渣应运至施工区堆放。工程共计河道疏浚940m，其中石口村上游段470m，石口村段470m。</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4、护岸工程围堰</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围堰填筑利用开挖料，现场采用1m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挖掘机开挖砂砾土混合料，辅以59kW推土机集料推运至回填面，14t振动碾振动压实。护岸工程施工结束后，拆除围堰，采用0.5m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挖掘机拆除，59kW推土机集料，10t自卸汽车运输运送至回填工作面，剩余料运至国投砂砾料加工厂。</w:t>
            </w:r>
          </w:p>
          <w:p>
            <w:pPr>
              <w:pStyle w:val="34"/>
              <w:numPr>
                <w:ilvl w:val="0"/>
                <w:numId w:val="0"/>
              </w:num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0"/>
                <w:position w:val="0"/>
                <w:sz w:val="24"/>
                <w:szCs w:val="24"/>
                <w:lang w:val="en-US" w:eastAsia="zh-CN"/>
              </w:rPr>
              <w:drawing>
                <wp:inline distT="0" distB="0" distL="114300" distR="114300">
                  <wp:extent cx="5179695" cy="2296160"/>
                  <wp:effectExtent l="0" t="0" r="1905" b="8890"/>
                  <wp:docPr id="4" name="图片 4" descr="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8"/>
                          <pic:cNvPicPr>
                            <a:picLocks noChangeAspect="1"/>
                          </pic:cNvPicPr>
                        </pic:nvPicPr>
                        <pic:blipFill>
                          <a:blip r:embed="rId9"/>
                          <a:stretch>
                            <a:fillRect/>
                          </a:stretch>
                        </pic:blipFill>
                        <pic:spPr>
                          <a:xfrm>
                            <a:off x="0" y="0"/>
                            <a:ext cx="5179695" cy="2296160"/>
                          </a:xfrm>
                          <a:prstGeom prst="rect">
                            <a:avLst/>
                          </a:prstGeom>
                        </pic:spPr>
                      </pic:pic>
                    </a:graphicData>
                  </a:graphic>
                </wp:inline>
              </w:drawing>
            </w:r>
          </w:p>
          <w:p>
            <w:pPr>
              <w:tabs>
                <w:tab w:val="left" w:pos="1613"/>
              </w:tabs>
              <w:jc w:val="center"/>
              <w:rPr>
                <w:rFonts w:hint="default" w:ascii="Times New Roman" w:hAnsi="Times New Roman" w:eastAsia="宋体" w:cs="Times New Roman"/>
                <w:b/>
                <w:bCs/>
                <w:spacing w:val="0"/>
                <w:position w:val="0"/>
                <w:sz w:val="21"/>
                <w:szCs w:val="21"/>
                <w:lang w:val="en-US" w:eastAsia="zh-CN"/>
              </w:rPr>
            </w:pPr>
            <w:r>
              <w:rPr>
                <w:rFonts w:hint="default" w:ascii="Times New Roman" w:hAnsi="Times New Roman" w:eastAsia="宋体" w:cs="Times New Roman"/>
                <w:b/>
                <w:bCs/>
                <w:spacing w:val="0"/>
                <w:position w:val="0"/>
                <w:sz w:val="21"/>
                <w:szCs w:val="21"/>
                <w:lang w:val="en-US" w:eastAsia="zh-CN"/>
              </w:rPr>
              <w:t>图3-1</w:t>
            </w:r>
            <w:r>
              <w:rPr>
                <w:rFonts w:hint="eastAsia" w:ascii="Times New Roman" w:hAnsi="Times New Roman" w:eastAsia="宋体" w:cs="Times New Roman"/>
                <w:b/>
                <w:bCs/>
                <w:spacing w:val="0"/>
                <w:position w:val="0"/>
                <w:sz w:val="21"/>
                <w:szCs w:val="21"/>
                <w:lang w:val="en-US" w:eastAsia="zh-CN"/>
              </w:rPr>
              <w:t xml:space="preserve"> </w:t>
            </w:r>
            <w:r>
              <w:rPr>
                <w:rFonts w:hint="default" w:ascii="Times New Roman" w:hAnsi="Times New Roman" w:eastAsia="宋体" w:cs="Times New Roman"/>
                <w:b/>
                <w:bCs/>
                <w:sz w:val="21"/>
                <w:szCs w:val="21"/>
                <w:lang w:val="en-US" w:eastAsia="zh-CN"/>
              </w:rPr>
              <w:t>集镇防洪、岸坡防护工程工艺流程及排污节点</w:t>
            </w:r>
          </w:p>
          <w:p>
            <w:pPr>
              <w:pStyle w:val="34"/>
              <w:numPr>
                <w:ilvl w:val="0"/>
                <w:numId w:val="0"/>
              </w:num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施工方法如下：</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lang w:val="en-US" w:eastAsia="zh-CN"/>
              </w:rPr>
            </w:pPr>
            <w:r>
              <w:rPr>
                <w:rFonts w:hint="default" w:ascii="Times New Roman" w:hAnsi="Times New Roman" w:eastAsia="宋体" w:cs="Times New Roman"/>
                <w:sz w:val="24"/>
                <w:szCs w:val="24"/>
                <w:lang w:val="en-US" w:eastAsia="zh-CN"/>
              </w:rPr>
              <w:t xml:space="preserve">（1） </w:t>
            </w:r>
            <w:r>
              <w:rPr>
                <w:rFonts w:hint="default" w:ascii="Times New Roman" w:hAnsi="Times New Roman" w:eastAsia="宋体" w:cs="Times New Roman"/>
                <w:spacing w:val="0"/>
                <w:position w:val="0"/>
                <w:sz w:val="24"/>
                <w:szCs w:val="24"/>
                <w:lang w:val="en-US" w:eastAsia="zh-CN"/>
              </w:rPr>
              <w:t>开挖工程</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本工程砂砾石土开挖采用1m</w:t>
            </w:r>
            <w:r>
              <w:rPr>
                <w:rFonts w:hint="default" w:ascii="Times New Roman" w:hAnsi="Times New Roman" w:eastAsia="宋体" w:cs="Times New Roman"/>
                <w:spacing w:val="0"/>
                <w:position w:val="0"/>
                <w:sz w:val="24"/>
                <w:szCs w:val="24"/>
                <w:vertAlign w:val="superscript"/>
                <w:lang w:val="en-US" w:eastAsia="zh-CN"/>
              </w:rPr>
              <w:t>3</w:t>
            </w:r>
            <w:r>
              <w:rPr>
                <w:rFonts w:hint="default" w:ascii="Times New Roman" w:hAnsi="Times New Roman" w:eastAsia="宋体" w:cs="Times New Roman"/>
                <w:spacing w:val="0"/>
                <w:position w:val="0"/>
                <w:sz w:val="24"/>
                <w:szCs w:val="24"/>
                <w:lang w:val="en-US" w:eastAsia="zh-CN"/>
              </w:rPr>
              <w:t>挖掘机挖装，59kw推土机辅助集料，用于填筑围堰部分由推土机退运至填筑面，剩余料由10t自卸汽车运至指定施工区。渣土运输要防止沿途抛撒，注意保护环境卫生。</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 xml:space="preserve">（2）回填工程 </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采用1m</w:t>
            </w:r>
            <w:r>
              <w:rPr>
                <w:rFonts w:hint="default" w:ascii="Times New Roman" w:hAnsi="Times New Roman" w:eastAsia="宋体" w:cs="Times New Roman"/>
                <w:spacing w:val="0"/>
                <w:position w:val="0"/>
                <w:sz w:val="24"/>
                <w:szCs w:val="24"/>
                <w:vertAlign w:val="superscript"/>
                <w:lang w:val="en-US" w:eastAsia="zh-CN"/>
              </w:rPr>
              <w:t>3</w:t>
            </w:r>
            <w:r>
              <w:rPr>
                <w:rFonts w:hint="default" w:ascii="Times New Roman" w:hAnsi="Times New Roman" w:eastAsia="宋体" w:cs="Times New Roman"/>
                <w:spacing w:val="0"/>
                <w:position w:val="0"/>
                <w:sz w:val="24"/>
                <w:szCs w:val="24"/>
                <w:lang w:val="en-US" w:eastAsia="zh-CN"/>
              </w:rPr>
              <w:t>挖掘机开挖围堰堰体并装车，10t自卸汽车运输至回填工作面，分层回填并压实，分层厚度不大于0.5铺土要求均匀平整，压实一般要求碾压4～6遍，回填料的压实采用YZ2.0t自行式振动碾，临近墙体部位，要求填土用人力或2.8kw蛙式打夯机夯实挡墙背后回填应尽量采用同类回填料，当采用不同料回填时，应按将透水性较大的回填料置于透水性较小的回填料之下，不得混杂回填。回填层下的淤泥、杂物应清除干净，如为松土应先夯实。回填区如有渍水或地下水时，应在两侧设置排水沟和集水井，将水位降低。挡墙排水管进口处必须按设计要求设置反滤体。</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（3）碎石垫层</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利用开挖砂砾料，在现场设置简易筛分机筛分后堆存，回填时采用1t机动翻斗车运至回填面卸料，人工铺料平整，振动夯板或小型振动平碾碾压，坡面及边角部位采用蛙式打夯机夯实。</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（4）格宾笼石护脚</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格宾石笼回填石料采用0.5m</w:t>
            </w:r>
            <w:r>
              <w:rPr>
                <w:rFonts w:hint="default" w:ascii="Times New Roman" w:hAnsi="Times New Roman" w:eastAsia="宋体" w:cs="Times New Roman"/>
                <w:spacing w:val="0"/>
                <w:position w:val="0"/>
                <w:sz w:val="24"/>
                <w:szCs w:val="24"/>
                <w:vertAlign w:val="superscript"/>
                <w:lang w:val="en-US" w:eastAsia="zh-CN"/>
              </w:rPr>
              <w:t>3</w:t>
            </w:r>
            <w:r>
              <w:rPr>
                <w:rFonts w:hint="default" w:ascii="Times New Roman" w:hAnsi="Times New Roman" w:eastAsia="宋体" w:cs="Times New Roman"/>
                <w:spacing w:val="0"/>
                <w:position w:val="0"/>
                <w:sz w:val="24"/>
                <w:szCs w:val="24"/>
                <w:lang w:val="en-US" w:eastAsia="zh-CN"/>
              </w:rPr>
              <w:t>挖掘机配合人工在滩地选料，10t自卸汽车运至筛分机筛分后堆存，使用时由10t自卸汽车运至施工工作面。格宾石笼笼体由人工编织、就位、封口，在人工指引下，采用0.5m</w:t>
            </w:r>
            <w:r>
              <w:rPr>
                <w:rFonts w:hint="default" w:ascii="Times New Roman" w:hAnsi="Times New Roman" w:eastAsia="宋体" w:cs="Times New Roman"/>
                <w:spacing w:val="0"/>
                <w:position w:val="0"/>
                <w:sz w:val="24"/>
                <w:szCs w:val="24"/>
                <w:vertAlign w:val="superscript"/>
                <w:lang w:val="en-US" w:eastAsia="zh-CN"/>
              </w:rPr>
              <w:t>3</w:t>
            </w:r>
            <w:r>
              <w:rPr>
                <w:rFonts w:hint="default" w:ascii="Times New Roman" w:hAnsi="Times New Roman" w:eastAsia="宋体" w:cs="Times New Roman"/>
                <w:spacing w:val="0"/>
                <w:position w:val="0"/>
                <w:sz w:val="24"/>
                <w:szCs w:val="24"/>
                <w:lang w:val="en-US" w:eastAsia="zh-CN"/>
              </w:rPr>
              <w:t>挖掘机抛投石料至笼内。</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（5）抛石填筑</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由1.0m</w:t>
            </w:r>
            <w:r>
              <w:rPr>
                <w:rFonts w:hint="default" w:ascii="Times New Roman" w:hAnsi="Times New Roman" w:eastAsia="宋体" w:cs="Times New Roman"/>
                <w:spacing w:val="0"/>
                <w:position w:val="0"/>
                <w:sz w:val="24"/>
                <w:szCs w:val="24"/>
                <w:vertAlign w:val="superscript"/>
                <w:lang w:val="en-US" w:eastAsia="zh-CN"/>
              </w:rPr>
              <w:t>3</w:t>
            </w:r>
            <w:r>
              <w:rPr>
                <w:rFonts w:hint="default" w:ascii="Times New Roman" w:hAnsi="Times New Roman" w:eastAsia="宋体" w:cs="Times New Roman"/>
                <w:spacing w:val="0"/>
                <w:position w:val="0"/>
                <w:sz w:val="24"/>
                <w:szCs w:val="24"/>
                <w:lang w:val="en-US" w:eastAsia="zh-CN"/>
              </w:rPr>
              <w:t>挖掘机开挖，10t自卸汽车运至施工现场堆存，使用时由1t机动翻斗车运至工作面后抛投。</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（6）生态砌块及连锁块</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采用购买成品预制块，10t载重汽车运输至工作面附近，测量放样后，生态连锁块由小型吊车卸料就位，人工砌筑修整，生态砌块由人工小推车或板车运至工作面，人工砌筑。</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lang w:val="en-US" w:eastAsia="zh-CN"/>
              </w:rPr>
              <w:t>（7）土工布</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0"/>
                <w:position w:val="0"/>
                <w:sz w:val="24"/>
                <w:szCs w:val="24"/>
                <w:lang w:val="en-US" w:eastAsia="zh-CN"/>
              </w:rPr>
              <w:t>土工布铺设施工包括铺设、拼接等主要工序。土工布采用人工铺设，由坡顶徐徐展放至坡底，土工布铺设时应平顺、随铺随压，松弛适度，留有余幅，一边拼接；土工布拼接采用搭接或缝接，搭接宽度为30cm～50cm，缝接时搭接宽度约10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9" w:hRule="atLeast"/>
        </w:trPr>
        <w:tc>
          <w:tcPr>
            <w:tcW w:w="5000" w:type="pct"/>
          </w:tcPr>
          <w:p>
            <w:pPr>
              <w:pStyle w:val="34"/>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工程占地及平面布置</w:t>
            </w:r>
          </w:p>
          <w:p>
            <w:pPr>
              <w:pStyle w:val="34"/>
              <w:spacing w:line="360" w:lineRule="auto"/>
              <w:ind w:firstLine="480" w:firstLineChars="200"/>
              <w:rPr>
                <w:rFonts w:hint="eastAsia" w:ascii="Times New Roman" w:hAnsi="Times New Roman" w:eastAsia="宋体" w:cs="Times New Roman"/>
                <w:spacing w:val="0"/>
                <w:sz w:val="24"/>
                <w:lang w:eastAsia="zh-CN"/>
              </w:rPr>
            </w:pPr>
            <w:r>
              <w:rPr>
                <w:rFonts w:hint="default" w:ascii="Times New Roman" w:hAnsi="Times New Roman" w:eastAsia="宋体" w:cs="Times New Roman"/>
                <w:spacing w:val="0"/>
                <w:sz w:val="24"/>
              </w:rPr>
              <w:t>本工程施工占地</w:t>
            </w:r>
            <w:r>
              <w:rPr>
                <w:rFonts w:hint="default" w:ascii="Times New Roman" w:hAnsi="Times New Roman" w:eastAsia="宋体" w:cs="Times New Roman"/>
                <w:spacing w:val="0"/>
                <w:sz w:val="24"/>
                <w:lang w:eastAsia="zh-CN"/>
              </w:rPr>
              <w:t>分为</w:t>
            </w:r>
            <w:r>
              <w:rPr>
                <w:rFonts w:hint="default" w:ascii="Times New Roman" w:hAnsi="Times New Roman" w:eastAsia="宋体" w:cs="Times New Roman"/>
                <w:spacing w:val="0"/>
                <w:sz w:val="24"/>
              </w:rPr>
              <w:t>永久用地和临时用地。其中永久用地包括堤岸防护和堰坝修复等工程建设布置的永久性建（构）筑需新征收的土地；临时用地包括施工营地、施工道路和护岸开挖等临时性工程用地。</w:t>
            </w:r>
            <w:r>
              <w:rPr>
                <w:rFonts w:hint="default" w:ascii="Times New Roman" w:hAnsi="Times New Roman" w:eastAsia="宋体" w:cs="Times New Roman"/>
                <w:sz w:val="24"/>
                <w:szCs w:val="24"/>
              </w:rPr>
              <w:t>综合东津河石口至沙埠站段工程治理内容，工程建设永久用地面积共计</w:t>
            </w:r>
            <w:r>
              <w:rPr>
                <w:rFonts w:hint="default" w:ascii="Times New Roman" w:hAnsi="Times New Roman" w:eastAsia="宋体" w:cs="Times New Roman"/>
                <w:sz w:val="24"/>
                <w:szCs w:val="24"/>
                <w:lang w:val="en-US" w:eastAsia="zh-CN"/>
              </w:rPr>
              <w:t>31.66</w:t>
            </w:r>
            <w:r>
              <w:rPr>
                <w:rFonts w:hint="default" w:ascii="Times New Roman" w:hAnsi="Times New Roman" w:eastAsia="宋体" w:cs="Times New Roman"/>
                <w:sz w:val="24"/>
                <w:szCs w:val="24"/>
              </w:rPr>
              <w:t>亩，为堤防、护岸（脚）工程永久用地。</w:t>
            </w:r>
            <w:r>
              <w:rPr>
                <w:rFonts w:hint="default" w:ascii="Times New Roman" w:hAnsi="Times New Roman" w:eastAsia="宋体" w:cs="Times New Roman"/>
                <w:b w:val="0"/>
                <w:bCs w:val="0"/>
                <w:sz w:val="24"/>
                <w:szCs w:val="24"/>
              </w:rPr>
              <w:t>东津河石口至沙埠集镇段工程施工占地主要包括</w:t>
            </w:r>
            <w:r>
              <w:rPr>
                <w:rFonts w:hint="default" w:ascii="Times New Roman" w:hAnsi="Times New Roman" w:eastAsia="宋体" w:cs="Times New Roman"/>
                <w:b w:val="0"/>
                <w:bCs w:val="0"/>
                <w:sz w:val="24"/>
                <w:szCs w:val="24"/>
                <w:lang w:eastAsia="zh-CN"/>
              </w:rPr>
              <w:t>护岸</w:t>
            </w:r>
            <w:r>
              <w:rPr>
                <w:rFonts w:hint="default" w:ascii="Times New Roman" w:hAnsi="Times New Roman" w:eastAsia="宋体" w:cs="Times New Roman"/>
                <w:b w:val="0"/>
                <w:bCs w:val="0"/>
                <w:sz w:val="24"/>
                <w:szCs w:val="24"/>
              </w:rPr>
              <w:t>开挖、施工</w:t>
            </w:r>
            <w:r>
              <w:rPr>
                <w:rFonts w:hint="default" w:ascii="Times New Roman" w:hAnsi="Times New Roman" w:eastAsia="宋体" w:cs="Times New Roman"/>
                <w:b w:val="0"/>
                <w:bCs w:val="0"/>
                <w:sz w:val="24"/>
                <w:szCs w:val="24"/>
                <w:lang w:eastAsia="zh-CN"/>
              </w:rPr>
              <w:t>营地、临时道路</w:t>
            </w:r>
            <w:r>
              <w:rPr>
                <w:rFonts w:hint="default" w:ascii="Times New Roman" w:hAnsi="Times New Roman" w:eastAsia="宋体" w:cs="Times New Roman"/>
                <w:b w:val="0"/>
                <w:bCs w:val="0"/>
                <w:sz w:val="24"/>
                <w:szCs w:val="24"/>
              </w:rPr>
              <w:t>占地等。本工程施工期临时用地总面积</w:t>
            </w:r>
            <w:r>
              <w:rPr>
                <w:rFonts w:hint="default" w:ascii="Times New Roman" w:hAnsi="Times New Roman" w:eastAsia="宋体" w:cs="Times New Roman"/>
                <w:b w:val="0"/>
                <w:bCs w:val="0"/>
                <w:sz w:val="24"/>
                <w:szCs w:val="24"/>
                <w:lang w:val="en-US" w:eastAsia="zh-CN"/>
              </w:rPr>
              <w:t>88.8</w:t>
            </w:r>
            <w:r>
              <w:rPr>
                <w:rFonts w:hint="default" w:ascii="Times New Roman" w:hAnsi="Times New Roman" w:eastAsia="宋体" w:cs="Times New Roman"/>
                <w:b w:val="0"/>
                <w:bCs w:val="0"/>
                <w:sz w:val="24"/>
                <w:szCs w:val="24"/>
              </w:rPr>
              <w:t>亩，其中施工营地占地</w:t>
            </w:r>
            <w:r>
              <w:rPr>
                <w:rFonts w:hint="default" w:ascii="Times New Roman" w:hAnsi="Times New Roman" w:eastAsia="宋体" w:cs="Times New Roman"/>
                <w:b w:val="0"/>
                <w:bCs w:val="0"/>
                <w:sz w:val="24"/>
                <w:szCs w:val="24"/>
                <w:lang w:val="en-US" w:eastAsia="zh-CN"/>
              </w:rPr>
              <w:t>5.76</w:t>
            </w:r>
            <w:r>
              <w:rPr>
                <w:rFonts w:hint="default" w:ascii="Times New Roman" w:hAnsi="Times New Roman" w:eastAsia="宋体" w:cs="Times New Roman"/>
                <w:b w:val="0"/>
                <w:bCs w:val="0"/>
                <w:sz w:val="24"/>
                <w:szCs w:val="24"/>
              </w:rPr>
              <w:t>亩，施工临时道路占地</w:t>
            </w:r>
            <w:r>
              <w:rPr>
                <w:rFonts w:hint="default" w:ascii="Times New Roman" w:hAnsi="Times New Roman" w:eastAsia="宋体" w:cs="Times New Roman"/>
                <w:b w:val="0"/>
                <w:bCs w:val="0"/>
                <w:sz w:val="24"/>
                <w:szCs w:val="24"/>
                <w:lang w:val="en-US" w:eastAsia="zh-CN"/>
              </w:rPr>
              <w:t>39.42</w:t>
            </w:r>
            <w:r>
              <w:rPr>
                <w:rFonts w:hint="default" w:ascii="Times New Roman" w:hAnsi="Times New Roman" w:eastAsia="宋体" w:cs="Times New Roman"/>
                <w:b w:val="0"/>
                <w:bCs w:val="0"/>
                <w:sz w:val="24"/>
                <w:szCs w:val="24"/>
              </w:rPr>
              <w:t>亩，护岸工程开挖占地</w:t>
            </w:r>
            <w:r>
              <w:rPr>
                <w:rFonts w:hint="default" w:ascii="Times New Roman" w:hAnsi="Times New Roman" w:eastAsia="宋体" w:cs="Times New Roman"/>
                <w:spacing w:val="0"/>
                <w:sz w:val="24"/>
                <w:lang w:val="en-US" w:eastAsia="zh-CN"/>
              </w:rPr>
              <w:t>43.62</w:t>
            </w:r>
            <w:r>
              <w:rPr>
                <w:rFonts w:hint="default" w:ascii="Times New Roman" w:hAnsi="Times New Roman" w:eastAsia="宋体" w:cs="Times New Roman"/>
                <w:spacing w:val="0"/>
                <w:sz w:val="24"/>
              </w:rPr>
              <w:t>亩。工程</w:t>
            </w:r>
            <w:r>
              <w:rPr>
                <w:rFonts w:hint="eastAsia" w:ascii="Times New Roman" w:hAnsi="Times New Roman" w:eastAsia="宋体" w:cs="Times New Roman"/>
                <w:spacing w:val="0"/>
                <w:sz w:val="24"/>
                <w:lang w:eastAsia="zh-CN"/>
              </w:rPr>
              <w:t>实际</w:t>
            </w:r>
            <w:r>
              <w:rPr>
                <w:rFonts w:hint="default" w:ascii="Times New Roman" w:hAnsi="Times New Roman" w:eastAsia="宋体" w:cs="Times New Roman"/>
                <w:spacing w:val="0"/>
                <w:sz w:val="24"/>
              </w:rPr>
              <w:t>开挖土石方</w:t>
            </w:r>
            <w:r>
              <w:rPr>
                <w:rFonts w:hint="eastAsia" w:ascii="Times New Roman" w:hAnsi="Times New Roman" w:eastAsia="宋体" w:cs="Times New Roman"/>
                <w:spacing w:val="0"/>
                <w:sz w:val="24"/>
                <w:lang w:val="en-US" w:eastAsia="zh-CN"/>
              </w:rPr>
              <w:t>24.35</w:t>
            </w:r>
            <w:r>
              <w:rPr>
                <w:rFonts w:hint="default" w:ascii="Times New Roman" w:hAnsi="Times New Roman" w:eastAsia="宋体" w:cs="Times New Roman"/>
                <w:spacing w:val="0"/>
                <w:sz w:val="24"/>
              </w:rPr>
              <w:t>万m</w:t>
            </w:r>
            <w:r>
              <w:rPr>
                <w:rFonts w:hint="default" w:ascii="Times New Roman" w:hAnsi="Times New Roman" w:eastAsia="宋体" w:cs="Times New Roman"/>
                <w:spacing w:val="0"/>
                <w:sz w:val="24"/>
                <w:vertAlign w:val="superscript"/>
              </w:rPr>
              <w:t>3</w:t>
            </w:r>
            <w:r>
              <w:rPr>
                <w:rFonts w:hint="default" w:ascii="Times New Roman" w:hAnsi="Times New Roman" w:eastAsia="宋体" w:cs="Times New Roman"/>
                <w:spacing w:val="0"/>
                <w:sz w:val="24"/>
              </w:rPr>
              <w:t>，回填土石方</w:t>
            </w:r>
            <w:r>
              <w:rPr>
                <w:rFonts w:hint="eastAsia" w:ascii="Times New Roman" w:hAnsi="Times New Roman" w:eastAsia="宋体" w:cs="Times New Roman"/>
                <w:spacing w:val="0"/>
                <w:sz w:val="24"/>
                <w:lang w:val="en-US" w:eastAsia="zh-CN"/>
              </w:rPr>
              <w:t>16.98</w:t>
            </w:r>
            <w:r>
              <w:rPr>
                <w:rFonts w:hint="default" w:ascii="Times New Roman" w:hAnsi="Times New Roman" w:eastAsia="宋体" w:cs="Times New Roman"/>
                <w:spacing w:val="0"/>
                <w:sz w:val="24"/>
              </w:rPr>
              <w:t>万m</w:t>
            </w:r>
            <w:r>
              <w:rPr>
                <w:rFonts w:hint="default" w:ascii="Times New Roman" w:hAnsi="Times New Roman" w:eastAsia="宋体" w:cs="Times New Roman"/>
                <w:spacing w:val="0"/>
                <w:sz w:val="24"/>
                <w:vertAlign w:val="superscript"/>
              </w:rPr>
              <w:t>3</w:t>
            </w:r>
            <w:r>
              <w:rPr>
                <w:rFonts w:hint="default" w:ascii="Times New Roman" w:hAnsi="Times New Roman" w:eastAsia="宋体" w:cs="Times New Roman"/>
                <w:spacing w:val="0"/>
                <w:sz w:val="24"/>
              </w:rPr>
              <w:t>，全部交由国投集团外运进行综合利用</w:t>
            </w:r>
            <w:r>
              <w:rPr>
                <w:rFonts w:hint="eastAsia" w:ascii="Times New Roman" w:hAnsi="Times New Roman" w:eastAsia="宋体" w:cs="Times New Roman"/>
                <w:spacing w:val="0"/>
                <w:sz w:val="24"/>
                <w:lang w:eastAsia="zh-CN"/>
              </w:rPr>
              <w:t>。</w:t>
            </w:r>
          </w:p>
          <w:p>
            <w:pPr>
              <w:pStyle w:val="34"/>
              <w:spacing w:line="360" w:lineRule="auto"/>
              <w:rPr>
                <w:rFonts w:hint="default" w:ascii="Times New Roman" w:hAnsi="Times New Roman" w:eastAsia="宋体" w:cs="Times New Roman"/>
                <w:b/>
                <w:bCs/>
                <w:szCs w:val="21"/>
              </w:rPr>
            </w:pPr>
            <w:r>
              <w:rPr>
                <w:rFonts w:hint="default" w:ascii="Times New Roman" w:hAnsi="Times New Roman" w:cs="Times New Roman"/>
              </w:rPr>
              <w:drawing>
                <wp:inline distT="0" distB="0" distL="114300" distR="114300">
                  <wp:extent cx="5239385" cy="4447540"/>
                  <wp:effectExtent l="0" t="0" r="1841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39385" cy="4447540"/>
                          </a:xfrm>
                          <a:prstGeom prst="rect">
                            <a:avLst/>
                          </a:prstGeom>
                          <a:noFill/>
                          <a:ln>
                            <a:noFill/>
                          </a:ln>
                        </pic:spPr>
                      </pic:pic>
                    </a:graphicData>
                  </a:graphic>
                </wp:inline>
              </w:drawing>
            </w:r>
          </w:p>
          <w:p>
            <w:pPr>
              <w:pStyle w:val="34"/>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图3-2 项目工程占地示意图</w:t>
            </w:r>
          </w:p>
          <w:p>
            <w:pPr>
              <w:pStyle w:val="34"/>
              <w:spacing w:line="360" w:lineRule="auto"/>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 xml:space="preserve">3-1 </w:t>
            </w:r>
            <w:r>
              <w:rPr>
                <w:rFonts w:hint="eastAsia" w:ascii="Times New Roman" w:hAnsi="Times New Roman" w:eastAsia="宋体" w:cs="Times New Roman"/>
                <w:b/>
                <w:bCs/>
                <w:sz w:val="21"/>
                <w:szCs w:val="21"/>
                <w:lang w:eastAsia="zh-CN"/>
              </w:rPr>
              <w:t>项目施工期及现状对比</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3875"/>
              <w:gridCol w:w="3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40" w:type="pct"/>
                  <w:vAlign w:val="center"/>
                </w:tcPr>
                <w:p>
                  <w:pPr>
                    <w:pStyle w:val="34"/>
                    <w:spacing w:line="240" w:lineRule="auto"/>
                    <w:jc w:val="center"/>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工程位置</w:t>
                  </w:r>
                </w:p>
              </w:tc>
              <w:tc>
                <w:tcPr>
                  <w:tcW w:w="2336" w:type="pct"/>
                  <w:vAlign w:val="center"/>
                </w:tcPr>
                <w:p>
                  <w:pPr>
                    <w:pStyle w:val="34"/>
                    <w:spacing w:line="240" w:lineRule="auto"/>
                    <w:jc w:val="center"/>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施工期</w:t>
                  </w:r>
                </w:p>
              </w:tc>
              <w:tc>
                <w:tcPr>
                  <w:tcW w:w="2223" w:type="pct"/>
                  <w:vAlign w:val="center"/>
                </w:tcPr>
                <w:p>
                  <w:pPr>
                    <w:pStyle w:val="34"/>
                    <w:spacing w:line="240" w:lineRule="auto"/>
                    <w:jc w:val="center"/>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trPr>
              <w:tc>
                <w:tcPr>
                  <w:tcW w:w="440" w:type="pct"/>
                  <w:vMerge w:val="restart"/>
                  <w:vAlign w:val="center"/>
                </w:tcPr>
                <w:p>
                  <w:pPr>
                    <w:pStyle w:val="34"/>
                    <w:spacing w:line="360" w:lineRule="auto"/>
                    <w:jc w:val="center"/>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石口大桥</w:t>
                  </w:r>
                </w:p>
              </w:tc>
              <w:tc>
                <w:tcPr>
                  <w:tcW w:w="2336" w:type="pct"/>
                  <w:vMerge w:val="restar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354580" cy="1764665"/>
                        <wp:effectExtent l="0" t="0" r="7620" b="6985"/>
                        <wp:docPr id="7" name="图片 7"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5"/>
                                <pic:cNvPicPr>
                                  <a:picLocks noChangeAspect="1"/>
                                </pic:cNvPicPr>
                              </pic:nvPicPr>
                              <pic:blipFill>
                                <a:blip r:embed="rId11"/>
                                <a:stretch>
                                  <a:fillRect/>
                                </a:stretch>
                              </pic:blipFill>
                              <pic:spPr>
                                <a:xfrm>
                                  <a:off x="0" y="0"/>
                                  <a:ext cx="2354580" cy="1764665"/>
                                </a:xfrm>
                                <a:prstGeom prst="rect">
                                  <a:avLst/>
                                </a:prstGeom>
                              </pic:spPr>
                            </pic:pic>
                          </a:graphicData>
                        </a:graphic>
                      </wp:inline>
                    </w:drawing>
                  </w:r>
                  <w:r>
                    <w:rPr>
                      <w:rFonts w:hint="eastAsia" w:ascii="Times New Roman" w:hAnsi="Times New Roman" w:eastAsia="宋体" w:cs="Times New Roman"/>
                      <w:b/>
                      <w:bCs/>
                      <w:sz w:val="21"/>
                      <w:szCs w:val="21"/>
                      <w:vertAlign w:val="baseline"/>
                      <w:lang w:eastAsia="zh-CN"/>
                    </w:rPr>
                    <w:drawing>
                      <wp:inline distT="0" distB="0" distL="114300" distR="114300">
                        <wp:extent cx="2352040" cy="1764030"/>
                        <wp:effectExtent l="0" t="0" r="10160" b="7620"/>
                        <wp:docPr id="15" name="图片 15" descr="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8"/>
                                <pic:cNvPicPr>
                                  <a:picLocks noChangeAspect="1"/>
                                </pic:cNvPicPr>
                              </pic:nvPicPr>
                              <pic:blipFill>
                                <a:blip r:embed="rId12"/>
                                <a:stretch>
                                  <a:fillRect/>
                                </a:stretch>
                              </pic:blipFill>
                              <pic:spPr>
                                <a:xfrm>
                                  <a:off x="0" y="0"/>
                                  <a:ext cx="2352040" cy="1764030"/>
                                </a:xfrm>
                                <a:prstGeom prst="rect">
                                  <a:avLst/>
                                </a:prstGeom>
                              </pic:spPr>
                            </pic:pic>
                          </a:graphicData>
                        </a:graphic>
                      </wp:inline>
                    </w:drawing>
                  </w:r>
                </w:p>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103120" cy="2280285"/>
                        <wp:effectExtent l="0" t="0" r="11430" b="5715"/>
                        <wp:docPr id="18" name="图片 18"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2"/>
                                <pic:cNvPicPr>
                                  <a:picLocks noChangeAspect="1"/>
                                </pic:cNvPicPr>
                              </pic:nvPicPr>
                              <pic:blipFill>
                                <a:blip r:embed="rId13"/>
                                <a:srcRect b="18682"/>
                                <a:stretch>
                                  <a:fillRect/>
                                </a:stretch>
                              </pic:blipFill>
                              <pic:spPr>
                                <a:xfrm>
                                  <a:off x="0" y="0"/>
                                  <a:ext cx="2103120" cy="2280285"/>
                                </a:xfrm>
                                <a:prstGeom prst="rect">
                                  <a:avLst/>
                                </a:prstGeom>
                              </pic:spPr>
                            </pic:pic>
                          </a:graphicData>
                        </a:graphic>
                      </wp:inline>
                    </w:drawing>
                  </w:r>
                </w:p>
              </w:tc>
              <w:tc>
                <w:tcPr>
                  <w:tcW w:w="2223" w:type="pc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287905" cy="1717040"/>
                        <wp:effectExtent l="0" t="0" r="17145" b="16510"/>
                        <wp:docPr id="9" name="图片 9" descr="微信图片_2022101308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10130811277"/>
                                <pic:cNvPicPr>
                                  <a:picLocks noChangeAspect="1"/>
                                </pic:cNvPicPr>
                              </pic:nvPicPr>
                              <pic:blipFill>
                                <a:blip r:embed="rId14"/>
                                <a:stretch>
                                  <a:fillRect/>
                                </a:stretch>
                              </pic:blipFill>
                              <pic:spPr>
                                <a:xfrm>
                                  <a:off x="0" y="0"/>
                                  <a:ext cx="2287905" cy="1717040"/>
                                </a:xfrm>
                                <a:prstGeom prst="rect">
                                  <a:avLst/>
                                </a:prstGeom>
                              </pic:spPr>
                            </pic:pic>
                          </a:graphicData>
                        </a:graphic>
                      </wp:inline>
                    </w:drawing>
                  </w:r>
                  <w:r>
                    <w:rPr>
                      <w:rFonts w:hint="eastAsia" w:ascii="Times New Roman" w:hAnsi="Times New Roman" w:eastAsia="宋体" w:cs="Times New Roman"/>
                      <w:b/>
                      <w:bCs/>
                      <w:sz w:val="21"/>
                      <w:szCs w:val="21"/>
                      <w:vertAlign w:val="baseline"/>
                      <w:lang w:eastAsia="zh-CN"/>
                    </w:rPr>
                    <w:drawing>
                      <wp:inline distT="0" distB="0" distL="114300" distR="114300">
                        <wp:extent cx="2326640" cy="1745615"/>
                        <wp:effectExtent l="0" t="0" r="16510" b="6985"/>
                        <wp:docPr id="11" name="图片 11" descr="6767eec24521b630f7efcb55f59b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767eec24521b630f7efcb55f59b7b7"/>
                                <pic:cNvPicPr>
                                  <a:picLocks noChangeAspect="1"/>
                                </pic:cNvPicPr>
                              </pic:nvPicPr>
                              <pic:blipFill>
                                <a:blip r:embed="rId15"/>
                                <a:stretch>
                                  <a:fillRect/>
                                </a:stretch>
                              </pic:blipFill>
                              <pic:spPr>
                                <a:xfrm>
                                  <a:off x="0" y="0"/>
                                  <a:ext cx="2326640" cy="1745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0" w:type="pct"/>
                  <w:vMerge w:val="continue"/>
                  <w:vAlign w:val="center"/>
                </w:tcPr>
                <w:p>
                  <w:pPr>
                    <w:pStyle w:val="34"/>
                    <w:spacing w:line="360" w:lineRule="auto"/>
                    <w:jc w:val="both"/>
                    <w:rPr>
                      <w:rFonts w:hint="eastAsia" w:ascii="Times New Roman" w:hAnsi="Times New Roman" w:eastAsia="宋体" w:cs="Times New Roman"/>
                      <w:b/>
                      <w:bCs/>
                      <w:sz w:val="21"/>
                      <w:szCs w:val="21"/>
                      <w:vertAlign w:val="baseline"/>
                    </w:rPr>
                  </w:pPr>
                </w:p>
              </w:tc>
              <w:tc>
                <w:tcPr>
                  <w:tcW w:w="2336" w:type="pct"/>
                  <w:vMerge w:val="continue"/>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p>
              </w:tc>
              <w:tc>
                <w:tcPr>
                  <w:tcW w:w="2223" w:type="pc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301240" cy="1726565"/>
                        <wp:effectExtent l="0" t="0" r="3810" b="6985"/>
                        <wp:docPr id="10" name="图片 10" descr="4f478319bbd988f110710aede81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f478319bbd988f110710aede81feb3"/>
                                <pic:cNvPicPr>
                                  <a:picLocks noChangeAspect="1"/>
                                </pic:cNvPicPr>
                              </pic:nvPicPr>
                              <pic:blipFill>
                                <a:blip r:embed="rId16"/>
                                <a:stretch>
                                  <a:fillRect/>
                                </a:stretch>
                              </pic:blipFill>
                              <pic:spPr>
                                <a:xfrm>
                                  <a:off x="0" y="0"/>
                                  <a:ext cx="2301240" cy="1726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restar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东坡大桥</w:t>
                  </w:r>
                </w:p>
              </w:tc>
              <w:tc>
                <w:tcPr>
                  <w:tcW w:w="2336" w:type="pc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325370" cy="1744345"/>
                        <wp:effectExtent l="0" t="0" r="17780" b="8255"/>
                        <wp:docPr id="12" name="图片 12" descr="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4"/>
                                <pic:cNvPicPr>
                                  <a:picLocks noChangeAspect="1"/>
                                </pic:cNvPicPr>
                              </pic:nvPicPr>
                              <pic:blipFill>
                                <a:blip r:embed="rId17"/>
                                <a:stretch>
                                  <a:fillRect/>
                                </a:stretch>
                              </pic:blipFill>
                              <pic:spPr>
                                <a:xfrm>
                                  <a:off x="0" y="0"/>
                                  <a:ext cx="2325370" cy="1744345"/>
                                </a:xfrm>
                                <a:prstGeom prst="rect">
                                  <a:avLst/>
                                </a:prstGeom>
                              </pic:spPr>
                            </pic:pic>
                          </a:graphicData>
                        </a:graphic>
                      </wp:inline>
                    </w:drawing>
                  </w:r>
                </w:p>
              </w:tc>
              <w:tc>
                <w:tcPr>
                  <w:tcW w:w="2223" w:type="pc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186940" cy="1640840"/>
                        <wp:effectExtent l="0" t="0" r="3810" b="16510"/>
                        <wp:docPr id="13" name="图片 13" descr="微信图片_2022101308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10130811278"/>
                                <pic:cNvPicPr>
                                  <a:picLocks noChangeAspect="1"/>
                                </pic:cNvPicPr>
                              </pic:nvPicPr>
                              <pic:blipFill>
                                <a:blip r:embed="rId18"/>
                                <a:stretch>
                                  <a:fillRect/>
                                </a:stretch>
                              </pic:blipFill>
                              <pic:spPr>
                                <a:xfrm>
                                  <a:off x="0" y="0"/>
                                  <a:ext cx="2186940" cy="1640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continue"/>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p>
              </w:tc>
              <w:tc>
                <w:tcPr>
                  <w:tcW w:w="2336" w:type="pc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372995" cy="1779905"/>
                        <wp:effectExtent l="0" t="0" r="8255" b="10795"/>
                        <wp:docPr id="16" name="图片 16" descr="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9"/>
                                <pic:cNvPicPr>
                                  <a:picLocks noChangeAspect="1"/>
                                </pic:cNvPicPr>
                              </pic:nvPicPr>
                              <pic:blipFill>
                                <a:blip r:embed="rId19"/>
                                <a:stretch>
                                  <a:fillRect/>
                                </a:stretch>
                              </pic:blipFill>
                              <pic:spPr>
                                <a:xfrm>
                                  <a:off x="0" y="0"/>
                                  <a:ext cx="2372995" cy="1779905"/>
                                </a:xfrm>
                                <a:prstGeom prst="rect">
                                  <a:avLst/>
                                </a:prstGeom>
                              </pic:spPr>
                            </pic:pic>
                          </a:graphicData>
                        </a:graphic>
                      </wp:inline>
                    </w:drawing>
                  </w:r>
                </w:p>
              </w:tc>
              <w:tc>
                <w:tcPr>
                  <w:tcW w:w="2223" w:type="pct"/>
                  <w:vAlign w:val="center"/>
                </w:tcPr>
                <w:p>
                  <w:pPr>
                    <w:pStyle w:val="34"/>
                    <w:spacing w:line="360" w:lineRule="auto"/>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drawing>
                      <wp:inline distT="0" distB="0" distL="114300" distR="114300">
                        <wp:extent cx="2249170" cy="1688465"/>
                        <wp:effectExtent l="0" t="0" r="17780" b="6985"/>
                        <wp:docPr id="14" name="图片 14" descr="微信图片_2022101308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10130811279"/>
                                <pic:cNvPicPr>
                                  <a:picLocks noChangeAspect="1"/>
                                </pic:cNvPicPr>
                              </pic:nvPicPr>
                              <pic:blipFill>
                                <a:blip r:embed="rId20"/>
                                <a:stretch>
                                  <a:fillRect/>
                                </a:stretch>
                              </pic:blipFill>
                              <pic:spPr>
                                <a:xfrm>
                                  <a:off x="0" y="0"/>
                                  <a:ext cx="2249170" cy="1688465"/>
                                </a:xfrm>
                                <a:prstGeom prst="rect">
                                  <a:avLst/>
                                </a:prstGeom>
                              </pic:spPr>
                            </pic:pic>
                          </a:graphicData>
                        </a:graphic>
                      </wp:inline>
                    </w:drawing>
                  </w:r>
                </w:p>
              </w:tc>
            </w:tr>
          </w:tbl>
          <w:p>
            <w:pPr>
              <w:pStyle w:val="34"/>
              <w:spacing w:line="360" w:lineRule="auto"/>
              <w:jc w:val="center"/>
              <w:rPr>
                <w:rFonts w:hint="default" w:ascii="Times New Roman" w:hAnsi="Times New Roman" w:eastAsia="宋体" w:cs="Times New Roman"/>
                <w:b/>
                <w:bCs/>
                <w:szCs w:val="21"/>
              </w:rPr>
            </w:pPr>
          </w:p>
          <w:p>
            <w:pPr>
              <w:pStyle w:val="34"/>
              <w:spacing w:line="360" w:lineRule="auto"/>
              <w:jc w:val="center"/>
              <w:rPr>
                <w:rFonts w:hint="default" w:ascii="Times New Roman" w:hAnsi="Times New Roman" w:eastAsia="宋体" w:cs="Times New Roman"/>
                <w:b/>
                <w:b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0" w:hRule="atLeast"/>
        </w:trPr>
        <w:tc>
          <w:tcPr>
            <w:tcW w:w="5000" w:type="pct"/>
          </w:tcPr>
          <w:p>
            <w:pPr>
              <w:pStyle w:val="3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工程环境保护投资明细</w:t>
            </w:r>
          </w:p>
          <w:p>
            <w:pPr>
              <w:pStyle w:val="34"/>
              <w:keepNext w:val="0"/>
              <w:keepLines w:val="0"/>
              <w:pageBreakBefore w:val="0"/>
              <w:widowControl w:val="0"/>
              <w:kinsoku/>
              <w:wordWrap/>
              <w:overflowPunct/>
              <w:topLinePunct w:val="0"/>
              <w:autoSpaceDE/>
              <w:autoSpaceDN/>
              <w:bidi w:val="0"/>
              <w:adjustRightInd/>
              <w:snapToGrid/>
              <w:spacing w:line="360" w:lineRule="auto"/>
              <w:ind w:left="0" w:firstLine="52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根据建设单位提</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供的资料，本项目工程计划总投资</w:t>
            </w:r>
            <w:r>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t>7098.5</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万元，计划环保投资</w:t>
            </w:r>
            <w:r>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t>85.69</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万元，实际总投资约</w:t>
            </w:r>
            <w:r>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t>6960</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万元，环保投资</w:t>
            </w:r>
            <w:r>
              <w:rPr>
                <w:rFonts w:hint="eastAsia" w:ascii="Times New Roman" w:hAnsi="Times New Roman" w:eastAsia="宋体" w:cs="Times New Roman"/>
                <w:bCs/>
                <w:color w:val="000000" w:themeColor="text1"/>
                <w:spacing w:val="10"/>
                <w:sz w:val="24"/>
                <w:szCs w:val="24"/>
                <w:lang w:val="en-US" w:eastAsia="zh-CN"/>
                <w14:textFill>
                  <w14:solidFill>
                    <w14:schemeClr w14:val="tx1"/>
                  </w14:solidFill>
                </w14:textFill>
              </w:rPr>
              <w:t>约50</w:t>
            </w:r>
            <w:r>
              <w:rPr>
                <w:rFonts w:hint="default" w:ascii="Times New Roman" w:hAnsi="Times New Roman" w:eastAsia="宋体" w:cs="Times New Roman"/>
                <w:bCs/>
                <w:color w:val="000000" w:themeColor="text1"/>
                <w:spacing w:val="10"/>
                <w:sz w:val="24"/>
                <w:szCs w:val="24"/>
                <w:lang w:val="en-US" w:eastAsia="zh-CN"/>
                <w14:textFill>
                  <w14:solidFill>
                    <w14:schemeClr w14:val="tx1"/>
                  </w14:solidFill>
                </w14:textFill>
              </w:rPr>
              <w:t>万元。本工程的环境保护投资包括环境监测费、环境保护临时措施、独立费用、基本预备费</w:t>
            </w:r>
            <w:r>
              <w:rPr>
                <w:rFonts w:hint="default" w:ascii="Times New Roman" w:hAnsi="Times New Roman" w:eastAsia="宋体" w:cs="Times New Roman"/>
                <w:bCs/>
                <w:color w:val="auto"/>
                <w:spacing w:val="1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62" w:firstLineChars="200"/>
              <w:jc w:val="center"/>
              <w:textAlignment w:val="auto"/>
              <w:outlineLvl w:val="9"/>
              <w:rPr>
                <w:rFonts w:hint="default" w:ascii="Times New Roman" w:hAnsi="Times New Roman" w:cs="Times New Roman"/>
                <w:b/>
                <w:bCs w:val="0"/>
                <w:color w:val="auto"/>
                <w:spacing w:val="10"/>
                <w:sz w:val="21"/>
                <w:szCs w:val="21"/>
                <w:lang w:val="en-US" w:eastAsia="zh-CN"/>
              </w:rPr>
            </w:pPr>
            <w:r>
              <w:rPr>
                <w:rFonts w:hint="eastAsia" w:ascii="Times New Roman" w:hAnsi="Times New Roman" w:cs="Times New Roman"/>
                <w:b/>
                <w:bCs w:val="0"/>
                <w:color w:val="auto"/>
                <w:spacing w:val="10"/>
                <w:sz w:val="21"/>
                <w:szCs w:val="21"/>
                <w:lang w:val="en-US" w:eastAsia="zh-CN"/>
              </w:rPr>
              <w:t>表3-3 环境保护概算表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17"/>
              <w:gridCol w:w="2078"/>
              <w:gridCol w:w="2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val="0"/>
                      <w:color w:val="auto"/>
                      <w:spacing w:val="10"/>
                      <w:sz w:val="21"/>
                      <w:szCs w:val="21"/>
                      <w:vertAlign w:val="baseline"/>
                      <w:lang w:val="en-US" w:eastAsia="zh-CN"/>
                    </w:rPr>
                  </w:pPr>
                  <w:r>
                    <w:rPr>
                      <w:rFonts w:hint="eastAsia" w:ascii="Times New Roman" w:hAnsi="Times New Roman" w:eastAsia="宋体" w:cs="Times New Roman"/>
                      <w:b/>
                      <w:bCs w:val="0"/>
                      <w:color w:val="auto"/>
                      <w:spacing w:val="10"/>
                      <w:sz w:val="21"/>
                      <w:szCs w:val="21"/>
                      <w:vertAlign w:val="baseline"/>
                      <w:lang w:val="en-US" w:eastAsia="zh-CN"/>
                    </w:rPr>
                    <w:t>工程费用和名称</w:t>
                  </w:r>
                </w:p>
              </w:tc>
              <w:tc>
                <w:tcPr>
                  <w:tcW w:w="2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环评估算投资（万元）</w:t>
                  </w:r>
                </w:p>
              </w:tc>
              <w:tc>
                <w:tcPr>
                  <w:tcW w:w="2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实际投资（万元）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pacing w:val="10"/>
                      <w:sz w:val="21"/>
                      <w:szCs w:val="21"/>
                      <w:vertAlign w:val="baseline"/>
                      <w:lang w:val="en-US" w:eastAsia="zh-CN"/>
                    </w:rPr>
                  </w:pPr>
                  <w:r>
                    <w:rPr>
                      <w:rFonts w:hint="eastAsia" w:ascii="Times New Roman" w:hAnsi="Times New Roman" w:eastAsia="宋体" w:cs="Times New Roman"/>
                      <w:b/>
                      <w:bCs w:val="0"/>
                      <w:color w:val="auto"/>
                      <w:spacing w:val="10"/>
                      <w:sz w:val="21"/>
                      <w:szCs w:val="21"/>
                      <w:vertAlign w:val="baseline"/>
                      <w:lang w:val="en-US" w:eastAsia="zh-CN"/>
                    </w:rPr>
                    <w:t>第一部分 环境保护措施</w:t>
                  </w:r>
                </w:p>
              </w:tc>
              <w:tc>
                <w:tcPr>
                  <w:tcW w:w="2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0</w:t>
                  </w:r>
                </w:p>
              </w:tc>
              <w:tc>
                <w:tcPr>
                  <w:tcW w:w="2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val="0"/>
                      <w:color w:val="auto"/>
                      <w:spacing w:val="10"/>
                      <w:sz w:val="21"/>
                      <w:szCs w:val="21"/>
                      <w:vertAlign w:val="baseline"/>
                      <w:lang w:val="en-US" w:eastAsia="zh-CN"/>
                    </w:rPr>
                  </w:pPr>
                  <w:r>
                    <w:rPr>
                      <w:rFonts w:hint="eastAsia" w:ascii="Times New Roman" w:hAnsi="Times New Roman" w:eastAsia="宋体" w:cs="Times New Roman"/>
                      <w:b/>
                      <w:bCs w:val="0"/>
                      <w:color w:val="auto"/>
                      <w:spacing w:val="10"/>
                      <w:sz w:val="21"/>
                      <w:szCs w:val="21"/>
                      <w:vertAlign w:val="baseline"/>
                      <w:lang w:val="en-US" w:eastAsia="zh-CN"/>
                    </w:rPr>
                    <w:t>第二部分 环境监测措施</w:t>
                  </w:r>
                </w:p>
              </w:tc>
              <w:tc>
                <w:tcPr>
                  <w:tcW w:w="2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6.9</w:t>
                  </w:r>
                </w:p>
              </w:tc>
              <w:tc>
                <w:tcPr>
                  <w:tcW w:w="2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
                      <w:bCs w:val="0"/>
                      <w:color w:val="auto"/>
                      <w:spacing w:val="10"/>
                      <w:sz w:val="21"/>
                      <w:szCs w:val="21"/>
                      <w:vertAlign w:val="baseline"/>
                      <w:lang w:val="en-US" w:eastAsia="zh-CN"/>
                    </w:rPr>
                    <w:t>第三部分 环境仪器及安装</w:t>
                  </w:r>
                </w:p>
              </w:tc>
              <w:tc>
                <w:tcPr>
                  <w:tcW w:w="2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1.34</w:t>
                  </w:r>
                </w:p>
              </w:tc>
              <w:tc>
                <w:tcPr>
                  <w:tcW w:w="2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
                      <w:bCs w:val="0"/>
                      <w:color w:val="auto"/>
                      <w:spacing w:val="10"/>
                      <w:sz w:val="21"/>
                      <w:szCs w:val="21"/>
                      <w:vertAlign w:val="baseline"/>
                      <w:lang w:val="en-US" w:eastAsia="zh-CN"/>
                    </w:rPr>
                    <w:t>第四部分 环境保护临时措施</w:t>
                  </w:r>
                </w:p>
              </w:tc>
              <w:tc>
                <w:tcPr>
                  <w:tcW w:w="2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19.82</w:t>
                  </w:r>
                </w:p>
              </w:tc>
              <w:tc>
                <w:tcPr>
                  <w:tcW w:w="2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
                      <w:bCs w:val="0"/>
                      <w:color w:val="auto"/>
                      <w:spacing w:val="10"/>
                      <w:sz w:val="21"/>
                      <w:szCs w:val="21"/>
                      <w:vertAlign w:val="baseline"/>
                      <w:lang w:val="en-US" w:eastAsia="zh-CN"/>
                    </w:rPr>
                    <w:t>第五部分 独立费用</w:t>
                  </w:r>
                </w:p>
              </w:tc>
              <w:tc>
                <w:tcPr>
                  <w:tcW w:w="2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49.94</w:t>
                  </w:r>
                </w:p>
              </w:tc>
              <w:tc>
                <w:tcPr>
                  <w:tcW w:w="2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
                      <w:bCs w:val="0"/>
                      <w:color w:val="auto"/>
                      <w:spacing w:val="10"/>
                      <w:sz w:val="21"/>
                      <w:szCs w:val="21"/>
                      <w:vertAlign w:val="baseline"/>
                      <w:lang w:val="en-US" w:eastAsia="zh-CN"/>
                    </w:rPr>
                    <w:t>环境保护总投资</w:t>
                  </w:r>
                </w:p>
              </w:tc>
              <w:tc>
                <w:tcPr>
                  <w:tcW w:w="2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85.69</w:t>
                  </w:r>
                </w:p>
              </w:tc>
              <w:tc>
                <w:tcPr>
                  <w:tcW w:w="2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pacing w:val="10"/>
                      <w:sz w:val="21"/>
                      <w:szCs w:val="21"/>
                      <w:vertAlign w:val="baseline"/>
                      <w:lang w:val="en-US" w:eastAsia="zh-CN"/>
                    </w:rPr>
                  </w:pPr>
                  <w:r>
                    <w:rPr>
                      <w:rFonts w:hint="eastAsia" w:ascii="Times New Roman" w:hAnsi="Times New Roman" w:eastAsia="宋体" w:cs="Times New Roman"/>
                      <w:bCs/>
                      <w:color w:val="auto"/>
                      <w:spacing w:val="10"/>
                      <w:sz w:val="21"/>
                      <w:szCs w:val="21"/>
                      <w:vertAlign w:val="baseline"/>
                      <w:lang w:val="en-US" w:eastAsia="zh-CN"/>
                    </w:rPr>
                    <w:t>50</w:t>
                  </w:r>
                </w:p>
              </w:tc>
            </w:tr>
          </w:tbl>
          <w:p>
            <w:pPr>
              <w:pStyle w:val="34"/>
              <w:spacing w:line="374" w:lineRule="exact"/>
              <w:ind w:left="107"/>
              <w:rPr>
                <w:rFonts w:hint="default" w:ascii="Times New Roman" w:hAnsi="Times New Roman" w:eastAsia="宋体" w:cs="Times New Roman"/>
              </w:rPr>
            </w:pPr>
          </w:p>
        </w:tc>
      </w:tr>
    </w:tbl>
    <w:p>
      <w:pPr>
        <w:spacing w:line="374" w:lineRule="exact"/>
        <w:rPr>
          <w:rFonts w:hint="default" w:ascii="Times New Roman" w:hAnsi="Times New Roman" w:eastAsia="宋体" w:cs="Times New Roman"/>
        </w:rPr>
        <w:sectPr>
          <w:pgSz w:w="11910" w:h="16840"/>
          <w:pgMar w:top="1440" w:right="1803" w:bottom="1440" w:left="1803" w:header="863" w:footer="996" w:gutter="0"/>
          <w:pgBorders>
            <w:top w:val="none" w:sz="0" w:space="0"/>
            <w:left w:val="none" w:sz="0" w:space="0"/>
            <w:bottom w:val="none" w:sz="0" w:space="0"/>
            <w:right w:val="none" w:sz="0" w:space="0"/>
          </w:pgBorders>
          <w:cols w:space="720" w:num="1"/>
        </w:sectPr>
      </w:pPr>
    </w:p>
    <w:tbl>
      <w:tblPr>
        <w:tblStyle w:val="2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9" w:hRule="atLeast"/>
        </w:trPr>
        <w:tc>
          <w:tcPr>
            <w:tcW w:w="5000" w:type="pct"/>
          </w:tcPr>
          <w:p>
            <w:pPr>
              <w:pStyle w:val="34"/>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与项目有关的生态破坏和污染物排放、主要环境问题及环境保护措施</w:t>
            </w:r>
          </w:p>
          <w:p>
            <w:pPr>
              <w:pStyle w:val="34"/>
              <w:keepNext w:val="0"/>
              <w:keepLines w:val="0"/>
              <w:pageBreakBefore w:val="0"/>
              <w:widowControl w:val="0"/>
              <w:numPr>
                <w:ilvl w:val="0"/>
                <w:numId w:val="4"/>
              </w:numPr>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施工期</w:t>
            </w:r>
            <w:r>
              <w:rPr>
                <w:rFonts w:hint="default" w:ascii="Times New Roman" w:hAnsi="Times New Roman" w:eastAsia="宋体" w:cs="Times New Roman"/>
                <w:sz w:val="24"/>
                <w:szCs w:val="24"/>
              </w:rPr>
              <w:t>废水</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 生活污水</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sz w:val="24"/>
                <w:szCs w:val="24"/>
                <w:lang w:eastAsia="zh-CN"/>
              </w:rPr>
              <w:t>生活污水经</w:t>
            </w:r>
            <w:r>
              <w:rPr>
                <w:rFonts w:hint="default" w:ascii="Times New Roman" w:hAnsi="Times New Roman" w:cs="Times New Roman"/>
                <w:spacing w:val="0"/>
                <w:sz w:val="24"/>
                <w:szCs w:val="24"/>
                <w:lang w:eastAsia="zh-CN"/>
              </w:rPr>
              <w:t>临时化粪池预</w:t>
            </w:r>
            <w:r>
              <w:rPr>
                <w:rFonts w:hint="default" w:ascii="Times New Roman" w:hAnsi="Times New Roman" w:eastAsia="宋体" w:cs="Times New Roman"/>
                <w:spacing w:val="0"/>
                <w:sz w:val="24"/>
                <w:szCs w:val="24"/>
                <w:lang w:eastAsia="zh-CN"/>
              </w:rPr>
              <w:t>处理后</w:t>
            </w:r>
            <w:r>
              <w:rPr>
                <w:rFonts w:hint="default" w:ascii="Times New Roman" w:hAnsi="Times New Roman" w:cs="Times New Roman"/>
                <w:spacing w:val="0"/>
                <w:sz w:val="24"/>
                <w:szCs w:val="24"/>
                <w:lang w:eastAsia="zh-CN"/>
              </w:rPr>
              <w:t>委托周边农户清掏后</w:t>
            </w:r>
            <w:r>
              <w:rPr>
                <w:rFonts w:hint="default" w:ascii="Times New Roman" w:hAnsi="Times New Roman" w:eastAsia="宋体" w:cs="Times New Roman"/>
                <w:spacing w:val="0"/>
                <w:sz w:val="24"/>
                <w:szCs w:val="24"/>
                <w:lang w:eastAsia="zh-CN"/>
              </w:rPr>
              <w:t>用于</w:t>
            </w:r>
            <w:r>
              <w:rPr>
                <w:rFonts w:hint="default" w:ascii="Times New Roman" w:hAnsi="Times New Roman" w:eastAsia="宋体" w:cs="Times New Roman"/>
                <w:sz w:val="24"/>
                <w:szCs w:val="24"/>
              </w:rPr>
              <w:t>农田灌溉</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0"/>
                <w:w w:val="100"/>
                <w:position w:val="0"/>
                <w:sz w:val="24"/>
                <w:szCs w:val="24"/>
              </w:rPr>
              <w:t>本工程分布分散，生活污水量较小，施工生活污水对地表水环境的影响随施工活动的结束而消失，属短期影响，在采取合理的处理措施后，生活污水对地表水环境影响较小。</w:t>
            </w:r>
          </w:p>
          <w:p>
            <w:pPr>
              <w:pStyle w:val="34"/>
              <w:keepNext w:val="0"/>
              <w:keepLines w:val="0"/>
              <w:pageBreakBefore w:val="0"/>
              <w:widowControl w:val="0"/>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1.2施工废水</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b w:val="0"/>
                <w:bCs w:val="0"/>
                <w:spacing w:val="0"/>
                <w:w w:val="100"/>
                <w:position w:val="0"/>
                <w:sz w:val="24"/>
                <w:szCs w:val="24"/>
                <w:lang w:val="en-US" w:eastAsia="zh-CN"/>
              </w:rPr>
              <w:t>项目产生的废水主要为机械维修、冲洗废水。</w:t>
            </w:r>
            <w:r>
              <w:rPr>
                <w:rFonts w:hint="default" w:ascii="Times New Roman" w:hAnsi="Times New Roman" w:eastAsia="宋体" w:cs="Times New Roman"/>
                <w:spacing w:val="0"/>
                <w:position w:val="0"/>
                <w:sz w:val="24"/>
                <w:szCs w:val="24"/>
              </w:rPr>
              <w:t>本工程施工车辆维修保养依靠乡镇维修点进行，工区不设机械修配场，仅设机械停放场，会产生机械车辆冲洗废水。本工程共设</w:t>
            </w:r>
            <w:r>
              <w:rPr>
                <w:rFonts w:hint="default" w:ascii="Times New Roman" w:hAnsi="Times New Roman" w:eastAsia="宋体" w:cs="Times New Roman"/>
                <w:spacing w:val="0"/>
                <w:position w:val="0"/>
                <w:sz w:val="24"/>
                <w:szCs w:val="24"/>
                <w:lang w:val="en-US" w:eastAsia="zh-CN"/>
              </w:rPr>
              <w:t>2</w:t>
            </w:r>
            <w:r>
              <w:rPr>
                <w:rFonts w:hint="default" w:ascii="Times New Roman" w:hAnsi="Times New Roman" w:eastAsia="宋体" w:cs="Times New Roman"/>
                <w:spacing w:val="0"/>
                <w:position w:val="0"/>
                <w:sz w:val="24"/>
                <w:szCs w:val="24"/>
              </w:rPr>
              <w:t>个机械停放场。</w:t>
            </w:r>
          </w:p>
          <w:p>
            <w:pPr>
              <w:pStyle w:val="34"/>
              <w:keepNext w:val="0"/>
              <w:keepLines w:val="0"/>
              <w:pageBreakBefore w:val="0"/>
              <w:widowControl w:val="0"/>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position w:val="0"/>
                <w:sz w:val="24"/>
                <w:szCs w:val="24"/>
                <w:lang w:val="en-US" w:eastAsia="zh-CN"/>
              </w:rPr>
            </w:pPr>
            <w:r>
              <w:rPr>
                <w:rFonts w:hint="default" w:ascii="Times New Roman" w:hAnsi="Times New Roman" w:eastAsia="宋体" w:cs="Times New Roman"/>
                <w:spacing w:val="0"/>
                <w:position w:val="0"/>
                <w:sz w:val="24"/>
                <w:szCs w:val="24"/>
              </w:rPr>
              <w:t>该类废水排放方式为间歇排放。机械车辆冲洗水量类比取为0.3m</w:t>
            </w:r>
            <w:r>
              <w:rPr>
                <w:rFonts w:hint="default" w:ascii="Times New Roman" w:hAnsi="Times New Roman" w:eastAsia="宋体" w:cs="Times New Roman"/>
                <w:spacing w:val="0"/>
                <w:position w:val="0"/>
                <w:sz w:val="24"/>
                <w:szCs w:val="24"/>
                <w:vertAlign w:val="superscript"/>
              </w:rPr>
              <w:t>3</w:t>
            </w:r>
            <w:r>
              <w:rPr>
                <w:rFonts w:hint="default" w:ascii="Times New Roman" w:hAnsi="Times New Roman" w:eastAsia="宋体" w:cs="Times New Roman"/>
                <w:spacing w:val="0"/>
                <w:position w:val="0"/>
                <w:sz w:val="24"/>
                <w:szCs w:val="24"/>
              </w:rPr>
              <w:t>/d•台，单个停放场日最大冲洗车辆按16台设计，则每个停放场冲洗废水产生量约为4.8m</w:t>
            </w:r>
            <w:r>
              <w:rPr>
                <w:rFonts w:hint="default" w:ascii="Times New Roman" w:hAnsi="Times New Roman" w:eastAsia="宋体" w:cs="Times New Roman"/>
                <w:spacing w:val="0"/>
                <w:position w:val="0"/>
                <w:sz w:val="24"/>
                <w:szCs w:val="24"/>
                <w:vertAlign w:val="superscript"/>
              </w:rPr>
              <w:t>3</w:t>
            </w:r>
            <w:r>
              <w:rPr>
                <w:rFonts w:hint="default" w:ascii="Times New Roman" w:hAnsi="Times New Roman" w:eastAsia="宋体" w:cs="Times New Roman"/>
                <w:spacing w:val="0"/>
                <w:position w:val="0"/>
                <w:sz w:val="24"/>
                <w:szCs w:val="24"/>
              </w:rPr>
              <w:t>/d，</w:t>
            </w:r>
            <w:r>
              <w:rPr>
                <w:rFonts w:hint="default" w:ascii="Times New Roman" w:hAnsi="Times New Roman" w:eastAsia="宋体" w:cs="Times New Roman"/>
                <w:spacing w:val="0"/>
                <w:position w:val="0"/>
                <w:sz w:val="24"/>
                <w:szCs w:val="24"/>
                <w:lang w:val="en-US" w:eastAsia="zh-CN"/>
              </w:rPr>
              <w:t>因该类用水只是对车辆扬尘的抑制，故主要污染物为悬浮物，经沉淀处理后可循环使用，</w:t>
            </w:r>
            <w:r>
              <w:rPr>
                <w:rFonts w:hint="default" w:ascii="Times New Roman" w:hAnsi="Times New Roman" w:eastAsia="宋体" w:cs="Times New Roman"/>
                <w:spacing w:val="0"/>
                <w:w w:val="100"/>
                <w:position w:val="0"/>
                <w:sz w:val="24"/>
                <w:szCs w:val="24"/>
              </w:rPr>
              <w:t>多余部分可作为施工场地洒水抑尘用水，不排放。</w:t>
            </w:r>
            <w:r>
              <w:rPr>
                <w:rFonts w:hint="default" w:ascii="Times New Roman" w:hAnsi="Times New Roman" w:eastAsia="宋体" w:cs="Times New Roman"/>
                <w:spacing w:val="0"/>
                <w:w w:val="100"/>
                <w:position w:val="0"/>
                <w:sz w:val="24"/>
                <w:szCs w:val="24"/>
                <w:lang w:val="en-US" w:eastAsia="zh-CN"/>
              </w:rPr>
              <w:t>本项目不设置施工机械</w:t>
            </w:r>
            <w:r>
              <w:rPr>
                <w:rFonts w:hint="default" w:ascii="Times New Roman" w:hAnsi="Times New Roman" w:eastAsia="宋体" w:cs="Times New Roman"/>
                <w:spacing w:val="0"/>
                <w:position w:val="0"/>
                <w:sz w:val="24"/>
                <w:szCs w:val="24"/>
              </w:rPr>
              <w:t>保养</w:t>
            </w:r>
            <w:r>
              <w:rPr>
                <w:rFonts w:hint="default" w:ascii="Times New Roman" w:hAnsi="Times New Roman" w:eastAsia="宋体" w:cs="Times New Roman"/>
                <w:spacing w:val="0"/>
                <w:position w:val="0"/>
                <w:sz w:val="24"/>
                <w:szCs w:val="24"/>
                <w:lang w:eastAsia="zh-CN"/>
              </w:rPr>
              <w:t>，</w:t>
            </w:r>
            <w:r>
              <w:rPr>
                <w:rFonts w:hint="default" w:ascii="Times New Roman" w:hAnsi="Times New Roman" w:eastAsia="宋体" w:cs="Times New Roman"/>
                <w:spacing w:val="0"/>
                <w:position w:val="0"/>
                <w:sz w:val="24"/>
                <w:szCs w:val="24"/>
                <w:lang w:val="en-US" w:eastAsia="zh-CN"/>
              </w:rPr>
              <w:t>只会因突发情况更换一般汽车零部件，因此不会产生或很少产生含油废水。</w:t>
            </w:r>
          </w:p>
          <w:p>
            <w:pPr>
              <w:pStyle w:val="34"/>
              <w:keepNext w:val="0"/>
              <w:keepLines w:val="0"/>
              <w:pageBreakBefore w:val="0"/>
              <w:widowControl w:val="0"/>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position w:val="0"/>
                <w:sz w:val="24"/>
                <w:szCs w:val="24"/>
                <w:lang w:val="en-US" w:eastAsia="zh-CN"/>
              </w:rPr>
            </w:pPr>
            <w:r>
              <w:rPr>
                <w:rFonts w:hint="default" w:ascii="Times New Roman" w:hAnsi="Times New Roman" w:eastAsia="宋体" w:cs="Times New Roman"/>
                <w:color w:val="000000"/>
                <w:spacing w:val="0"/>
                <w:w w:val="100"/>
                <w:position w:val="0"/>
                <w:sz w:val="24"/>
                <w:szCs w:val="24"/>
                <w:lang w:val="en-US" w:eastAsia="zh-CN"/>
              </w:rPr>
              <w:t>施工</w:t>
            </w:r>
            <w:r>
              <w:rPr>
                <w:rFonts w:hint="default" w:ascii="Times New Roman" w:hAnsi="Times New Roman" w:eastAsia="宋体" w:cs="Times New Roman"/>
                <w:color w:val="000000"/>
                <w:spacing w:val="0"/>
                <w:w w:val="100"/>
                <w:position w:val="0"/>
                <w:sz w:val="24"/>
                <w:szCs w:val="24"/>
              </w:rPr>
              <w:t>围堰主要为本工程挡墙基础开挖、混凝土挡墙浇筑、格宾挡墙修建、土工布铺设提供干地施工条件，会产生基坑排水，基坑排水主要为地下渗水和降雨，污染物单一，且较易沉降</w:t>
            </w:r>
            <w:r>
              <w:rPr>
                <w:rFonts w:hint="default" w:ascii="Times New Roman" w:hAnsi="Times New Roman" w:eastAsia="宋体" w:cs="Times New Roman"/>
                <w:color w:val="000000"/>
                <w:spacing w:val="0"/>
                <w:w w:val="100"/>
                <w:position w:val="0"/>
                <w:sz w:val="24"/>
                <w:szCs w:val="24"/>
                <w:lang w:eastAsia="zh-CN"/>
              </w:rPr>
              <w:t>。</w:t>
            </w:r>
          </w:p>
          <w:p>
            <w:pPr>
              <w:pStyle w:val="34"/>
              <w:keepNext w:val="0"/>
              <w:keepLines w:val="0"/>
              <w:pageBreakBefore w:val="0"/>
              <w:widowControl w:val="0"/>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position w:val="0"/>
                <w:sz w:val="24"/>
                <w:szCs w:val="24"/>
                <w:lang w:val="en-US" w:eastAsia="zh-CN"/>
              </w:rPr>
            </w:pPr>
            <w:r>
              <w:rPr>
                <w:rFonts w:hint="default" w:ascii="Times New Roman" w:hAnsi="Times New Roman" w:eastAsia="宋体" w:cs="Times New Roman"/>
                <w:spacing w:val="0"/>
                <w:position w:val="0"/>
                <w:sz w:val="24"/>
                <w:szCs w:val="24"/>
                <w:lang w:val="en-US" w:eastAsia="zh-CN"/>
              </w:rPr>
              <w:t>1.3施工期地下水</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lang w:val="en-US" w:eastAsia="zh-CN"/>
              </w:rPr>
              <w:t>加强</w:t>
            </w:r>
            <w:r>
              <w:rPr>
                <w:rFonts w:hint="default" w:ascii="Times New Roman" w:hAnsi="Times New Roman" w:eastAsia="宋体" w:cs="Times New Roman"/>
                <w:spacing w:val="0"/>
                <w:w w:val="100"/>
                <w:position w:val="0"/>
                <w:sz w:val="24"/>
                <w:szCs w:val="24"/>
              </w:rPr>
              <w:t>施工生产废水</w:t>
            </w:r>
            <w:r>
              <w:rPr>
                <w:rFonts w:hint="default" w:ascii="Times New Roman" w:hAnsi="Times New Roman" w:eastAsia="宋体" w:cs="Times New Roman"/>
                <w:spacing w:val="0"/>
                <w:w w:val="100"/>
                <w:position w:val="0"/>
                <w:sz w:val="24"/>
                <w:szCs w:val="24"/>
                <w:lang w:val="en-US" w:eastAsia="zh-CN"/>
              </w:rPr>
              <w:t>管理</w:t>
            </w:r>
            <w:r>
              <w:rPr>
                <w:rFonts w:hint="default" w:ascii="Times New Roman" w:hAnsi="Times New Roman" w:eastAsia="宋体" w:cs="Times New Roman"/>
                <w:spacing w:val="0"/>
                <w:w w:val="100"/>
                <w:position w:val="0"/>
                <w:sz w:val="24"/>
                <w:szCs w:val="24"/>
              </w:rPr>
              <w:t>及生活污水不排放，</w:t>
            </w:r>
            <w:r>
              <w:rPr>
                <w:rFonts w:hint="default" w:ascii="Times New Roman" w:hAnsi="Times New Roman" w:eastAsia="宋体" w:cs="Times New Roman"/>
                <w:spacing w:val="0"/>
                <w:w w:val="100"/>
                <w:position w:val="0"/>
                <w:sz w:val="24"/>
                <w:szCs w:val="24"/>
                <w:lang w:val="en-US" w:eastAsia="zh-CN"/>
              </w:rPr>
              <w:t>做到</w:t>
            </w:r>
            <w:r>
              <w:rPr>
                <w:rFonts w:hint="default" w:ascii="Times New Roman" w:hAnsi="Times New Roman" w:eastAsia="宋体" w:cs="Times New Roman"/>
                <w:spacing w:val="0"/>
                <w:w w:val="100"/>
                <w:position w:val="0"/>
                <w:sz w:val="24"/>
                <w:szCs w:val="24"/>
              </w:rPr>
              <w:t>污废水处理设施的防渗，防止施工机械的跑、冒、滴、漏，避免施工活动对地下水水质产生污染。</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取土区取土深度达到含水层，应停止取土，并在出露处覆盖粘土进行封闭， 防止外界环境直接影响地下水。</w:t>
            </w:r>
          </w:p>
          <w:p>
            <w:pPr>
              <w:pStyle w:val="34"/>
              <w:keepNext w:val="0"/>
              <w:keepLines w:val="0"/>
              <w:pageBreakBefore w:val="0"/>
              <w:widowControl w:val="0"/>
              <w:numPr>
                <w:ilvl w:val="0"/>
                <w:numId w:val="4"/>
              </w:numPr>
              <w:kinsoku/>
              <w:wordWrap/>
              <w:overflowPunct/>
              <w:topLinePunct w:val="0"/>
              <w:bidi w:val="0"/>
              <w:adjustRightInd/>
              <w:snapToGrid/>
              <w:spacing w:line="360" w:lineRule="auto"/>
              <w:ind w:left="0" w:leftChars="0" w:firstLine="480" w:firstLineChars="200"/>
              <w:jc w:val="left"/>
              <w:textAlignment w:val="auto"/>
              <w:rPr>
                <w:rFonts w:hint="default" w:ascii="Times New Roman" w:hAnsi="Times New Roman" w:eastAsia="宋体" w:cs="Times New Roman"/>
                <w:spacing w:val="0"/>
                <w:position w:val="0"/>
                <w:sz w:val="24"/>
                <w:szCs w:val="24"/>
                <w:lang w:val="en-US" w:eastAsia="zh-CN"/>
              </w:rPr>
            </w:pPr>
            <w:r>
              <w:rPr>
                <w:rFonts w:hint="default" w:ascii="Times New Roman" w:hAnsi="Times New Roman" w:eastAsia="宋体" w:cs="Times New Roman"/>
                <w:spacing w:val="0"/>
                <w:position w:val="0"/>
                <w:sz w:val="24"/>
                <w:szCs w:val="24"/>
                <w:lang w:val="en-US" w:eastAsia="zh-CN"/>
              </w:rPr>
              <w:t>施工期废气</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position w:val="0"/>
                <w:sz w:val="24"/>
                <w:szCs w:val="24"/>
                <w:lang w:val="en-US" w:eastAsia="zh-CN"/>
              </w:rPr>
            </w:pPr>
            <w:r>
              <w:rPr>
                <w:rFonts w:hint="default" w:ascii="Times New Roman" w:hAnsi="Times New Roman" w:eastAsia="宋体" w:cs="Times New Roman"/>
                <w:spacing w:val="0"/>
                <w:position w:val="0"/>
                <w:sz w:val="24"/>
                <w:szCs w:val="24"/>
                <w:lang w:val="en-US" w:eastAsia="zh-CN"/>
              </w:rPr>
              <w:t>2.1粉尘、扬尘</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eastAsia="宋体" w:cs="Times New Roman"/>
                <w:spacing w:val="0"/>
                <w:position w:val="0"/>
                <w:sz w:val="24"/>
                <w:szCs w:val="24"/>
                <w:lang w:val="en-US" w:eastAsia="zh-CN"/>
              </w:rPr>
              <w:t>开挖、平整、回填土方过程中及</w:t>
            </w:r>
            <w:r>
              <w:rPr>
                <w:rFonts w:hint="default" w:ascii="Times New Roman" w:hAnsi="Times New Roman" w:cs="Times New Roman"/>
                <w:spacing w:val="0"/>
                <w:w w:val="100"/>
                <w:position w:val="0"/>
                <w:sz w:val="24"/>
                <w:szCs w:val="24"/>
              </w:rPr>
              <w:t>施工机械和运输车辆</w:t>
            </w:r>
            <w:r>
              <w:rPr>
                <w:rFonts w:hint="default" w:ascii="Times New Roman" w:hAnsi="Times New Roman" w:eastAsia="宋体" w:cs="Times New Roman"/>
                <w:spacing w:val="0"/>
                <w:w w:val="100"/>
                <w:position w:val="0"/>
                <w:sz w:val="24"/>
                <w:szCs w:val="24"/>
                <w:lang w:val="en-US" w:eastAsia="zh-CN"/>
              </w:rPr>
              <w:t>会</w:t>
            </w:r>
            <w:r>
              <w:rPr>
                <w:rFonts w:hint="default" w:ascii="Times New Roman" w:hAnsi="Times New Roman" w:cs="Times New Roman"/>
                <w:spacing w:val="0"/>
                <w:w w:val="100"/>
                <w:position w:val="0"/>
                <w:sz w:val="24"/>
                <w:szCs w:val="24"/>
              </w:rPr>
              <w:t>产生扬尘</w:t>
            </w:r>
            <w:r>
              <w:rPr>
                <w:rFonts w:hint="default"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lang w:val="en-US" w:eastAsia="zh-CN"/>
              </w:rPr>
              <w:t>本项目为河道施工，所以加强回填土方堆放场的管理，定期喷水、覆盖、及时清运等，车辆运输过程做到适量</w:t>
            </w:r>
            <w:r>
              <w:rPr>
                <w:rFonts w:hint="default"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的装载量、加盖苫布、保持合理的车速等，及时对施工场地恢复地面植被、在施工场地四周设置屏障等措施将大大减少扬尘。</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施工期施工设施机械尾气</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cs="Times New Roman"/>
                <w:color w:val="000000" w:themeColor="text1"/>
                <w:spacing w:val="0"/>
                <w:w w:val="100"/>
                <w:position w:val="0"/>
                <w:sz w:val="24"/>
                <w:szCs w:val="24"/>
                <w14:textFill>
                  <w14:solidFill>
                    <w14:schemeClr w14:val="tx1"/>
                  </w14:solidFill>
                </w14:textFill>
              </w:rPr>
              <w:t>本工程施工期为</w:t>
            </w:r>
            <w:r>
              <w:rPr>
                <w:rFonts w:hint="eastAsia" w:ascii="Times New Roman" w:hAnsi="Times New Roman" w:cs="Times New Roman"/>
                <w:color w:val="000000" w:themeColor="text1"/>
                <w:spacing w:val="0"/>
                <w:w w:val="100"/>
                <w:position w:val="0"/>
                <w:sz w:val="24"/>
                <w:szCs w:val="24"/>
                <w:lang w:val="en-US" w:eastAsia="zh-CN"/>
                <w14:textFill>
                  <w14:solidFill>
                    <w14:schemeClr w14:val="tx1"/>
                  </w14:solidFill>
                </w14:textFill>
              </w:rPr>
              <w:t>5</w:t>
            </w:r>
            <w:r>
              <w:rPr>
                <w:rFonts w:hint="default" w:ascii="Times New Roman" w:hAnsi="Times New Roman" w:cs="Times New Roman"/>
                <w:color w:val="000000" w:themeColor="text1"/>
                <w:spacing w:val="0"/>
                <w:w w:val="100"/>
                <w:position w:val="0"/>
                <w:sz w:val="24"/>
                <w:szCs w:val="24"/>
                <w14:textFill>
                  <w14:solidFill>
                    <w14:schemeClr w14:val="tx1"/>
                  </w14:solidFill>
                </w14:textFill>
              </w:rPr>
              <w:t>个月，工程施工期间使用机械主要为挖掘机、推土机、自卸汽车、载重汽车等，其中车辆主要集中于施工道路沿线，其他机械主要布置于各施工场地。由于本工程总体呈线性，</w:t>
            </w:r>
            <w:r>
              <w:rPr>
                <w:rFonts w:hint="default" w:ascii="Times New Roman" w:hAnsi="Times New Roman" w:cs="Times New Roman"/>
                <w:spacing w:val="0"/>
                <w:w w:val="100"/>
                <w:position w:val="0"/>
                <w:sz w:val="24"/>
                <w:szCs w:val="24"/>
              </w:rPr>
              <w:t>施工线长，工区布置分散，施工期</w:t>
            </w:r>
            <w:r>
              <w:rPr>
                <w:rFonts w:hint="default" w:ascii="Times New Roman" w:hAnsi="Times New Roman" w:eastAsia="宋体" w:cs="Times New Roman"/>
                <w:spacing w:val="0"/>
                <w:w w:val="100"/>
                <w:position w:val="0"/>
                <w:sz w:val="24"/>
                <w:szCs w:val="24"/>
                <w:lang w:val="en-US" w:eastAsia="zh-CN"/>
              </w:rPr>
              <w:t>尾气</w:t>
            </w:r>
            <w:r>
              <w:rPr>
                <w:rFonts w:hint="default" w:ascii="Times New Roman" w:hAnsi="Times New Roman" w:cs="Times New Roman"/>
                <w:spacing w:val="0"/>
                <w:w w:val="100"/>
                <w:position w:val="0"/>
                <w:sz w:val="24"/>
                <w:szCs w:val="24"/>
              </w:rPr>
              <w:t>多为流动性、间歇性排放，污染强度不大，因此</w:t>
            </w:r>
            <w:r>
              <w:rPr>
                <w:rFonts w:hint="default" w:ascii="Times New Roman" w:hAnsi="Times New Roman" w:eastAsia="宋体" w:cs="Times New Roman"/>
                <w:spacing w:val="0"/>
                <w:w w:val="100"/>
                <w:position w:val="0"/>
                <w:sz w:val="24"/>
                <w:szCs w:val="24"/>
                <w:lang w:val="en-US" w:eastAsia="zh-CN"/>
              </w:rPr>
              <w:t>汽车尾气</w:t>
            </w:r>
            <w:r>
              <w:rPr>
                <w:rFonts w:hint="default" w:ascii="Times New Roman" w:hAnsi="Times New Roman" w:cs="Times New Roman"/>
                <w:spacing w:val="0"/>
                <w:w w:val="100"/>
                <w:position w:val="0"/>
                <w:sz w:val="24"/>
                <w:szCs w:val="24"/>
              </w:rPr>
              <w:t>排放强度十分有限。此外，考虑工程施工场地位于农村旷野，地势平坦开阔，冬季天气以晴朗多风为主，大气扩散条件好，大气污染物背景值低，工程施工</w:t>
            </w:r>
            <w:r>
              <w:rPr>
                <w:rFonts w:hint="default" w:ascii="Times New Roman" w:hAnsi="Times New Roman" w:eastAsia="宋体" w:cs="Times New Roman"/>
                <w:spacing w:val="0"/>
                <w:w w:val="100"/>
                <w:position w:val="0"/>
                <w:sz w:val="24"/>
                <w:szCs w:val="24"/>
                <w:lang w:val="en-US" w:eastAsia="zh-CN"/>
              </w:rPr>
              <w:t>机车尾气</w:t>
            </w:r>
            <w:r>
              <w:rPr>
                <w:rFonts w:hint="default" w:ascii="Times New Roman" w:hAnsi="Times New Roman" w:cs="Times New Roman"/>
                <w:spacing w:val="0"/>
                <w:w w:val="100"/>
                <w:position w:val="0"/>
                <w:sz w:val="24"/>
                <w:szCs w:val="24"/>
              </w:rPr>
              <w:t>不会对周围环境产生明显影响。</w:t>
            </w:r>
            <w:r>
              <w:rPr>
                <w:rFonts w:hint="default" w:ascii="Times New Roman" w:hAnsi="Times New Roman" w:eastAsia="宋体" w:cs="Times New Roman"/>
                <w:spacing w:val="0"/>
                <w:w w:val="100"/>
                <w:position w:val="0"/>
                <w:sz w:val="24"/>
                <w:szCs w:val="24"/>
                <w:lang w:val="en-US" w:eastAsia="zh-CN"/>
              </w:rPr>
              <w:t>同时加强对事故车辆的保养调整至最佳工作状态，对施工期的车辆采用高标号燃油，降低机车尾气产生的浓度及产生量。</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3、施工期噪声</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施工期噪声源主要来自施工开挖、混凝土浇筑、土石方填筑等施工活动以</w:t>
            </w:r>
          </w:p>
          <w:p>
            <w:pPr>
              <w:pStyle w:val="34"/>
              <w:keepNext w:val="0"/>
              <w:keepLines w:val="0"/>
              <w:pageBreakBefore w:val="0"/>
              <w:widowControl w:val="0"/>
              <w:numPr>
                <w:ilvl w:val="0"/>
                <w:numId w:val="0"/>
              </w:numPr>
              <w:kinsoku/>
              <w:wordWrap/>
              <w:overflowPunct/>
              <w:topLinePunct w:val="0"/>
              <w:bidi w:val="0"/>
              <w:adjustRightInd/>
              <w:snapToGrid/>
              <w:spacing w:line="360" w:lineRule="auto"/>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及挖掘机、推土机等施工机械运行以及车辆运输等。因本项目部分施工场地距居民点较近（石口村清淤段距右岸居民点25m），施工期部分居民会受到不同程度的噪声影响。故应合理选择施工时间，在夜间禁止施工，防止施工噪声对居民生活及休息的影响。同时在必要时采用移动声屏障围挡以减少施工措施的噪声。同时加强施工机械的保养，减少机械故障而产生的噪声。</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4、施工期固体废物</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4.1工程弃渣</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color w:val="000000"/>
                <w:spacing w:val="0"/>
                <w:w w:val="100"/>
                <w:position w:val="0"/>
                <w:sz w:val="24"/>
                <w:szCs w:val="24"/>
              </w:rPr>
            </w:pPr>
            <w:r>
              <w:rPr>
                <w:rFonts w:hint="default" w:ascii="Times New Roman" w:hAnsi="Times New Roman" w:eastAsia="宋体" w:cs="Times New Roman"/>
                <w:spacing w:val="0"/>
                <w:w w:val="100"/>
                <w:position w:val="0"/>
                <w:sz w:val="24"/>
                <w:szCs w:val="24"/>
              </w:rPr>
              <w:t>本工程施工期产生的固体废弃物主要为施工弃土、建筑垃圾、施工人员生活垃圾</w:t>
            </w:r>
            <w:r>
              <w:rPr>
                <w:rFonts w:hint="default" w:ascii="Times New Roman" w:hAnsi="Times New Roman" w:eastAsia="宋体" w:cs="Times New Roman"/>
                <w:spacing w:val="0"/>
                <w:w w:val="100"/>
                <w:position w:val="0"/>
                <w:sz w:val="24"/>
                <w:szCs w:val="24"/>
                <w:lang w:val="en-US" w:eastAsia="zh-CN"/>
              </w:rPr>
              <w:t>等固体废弃物，</w:t>
            </w:r>
            <w:r>
              <w:rPr>
                <w:rFonts w:hint="default" w:ascii="Times New Roman" w:hAnsi="Times New Roman" w:eastAsia="宋体" w:cs="Times New Roman"/>
                <w:spacing w:val="0"/>
                <w:w w:val="100"/>
                <w:position w:val="0"/>
                <w:sz w:val="24"/>
                <w:szCs w:val="24"/>
              </w:rPr>
              <w:t>施工弃土作为弃渣运至指定</w:t>
            </w:r>
            <w:r>
              <w:rPr>
                <w:rFonts w:hint="default" w:ascii="Times New Roman" w:hAnsi="Times New Roman" w:eastAsia="宋体" w:cs="Times New Roman"/>
                <w:spacing w:val="0"/>
                <w:w w:val="100"/>
                <w:position w:val="0"/>
                <w:sz w:val="24"/>
                <w:szCs w:val="24"/>
                <w:lang w:eastAsia="zh-CN"/>
              </w:rPr>
              <w:t>国投石料场，</w:t>
            </w:r>
            <w:r>
              <w:rPr>
                <w:rFonts w:hint="default" w:ascii="Times New Roman" w:hAnsi="Times New Roman" w:eastAsia="宋体" w:cs="Times New Roman"/>
                <w:color w:val="000000"/>
                <w:spacing w:val="0"/>
                <w:w w:val="100"/>
                <w:position w:val="0"/>
                <w:sz w:val="24"/>
                <w:szCs w:val="24"/>
              </w:rPr>
              <w:t>工程中的拆除建筑产生的建筑垃圾建筑垃圾一部分通过在整治河道沿岸坑塘固基填埋进行处置，一部分用于施工道路垫层填筑，剩余少量工程不能再利用的建筑垃圾，将按产生地由市容行政管理部门指定地点进行堆放。</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4.2生活垃圾</w:t>
            </w:r>
          </w:p>
          <w:p>
            <w:pPr>
              <w:pStyle w:val="34"/>
              <w:keepNext w:val="0"/>
              <w:keepLines w:val="0"/>
              <w:pageBreakBefore w:val="0"/>
              <w:widowControl w:val="0"/>
              <w:numPr>
                <w:ilvl w:val="0"/>
                <w:numId w:val="0"/>
              </w:numPr>
              <w:kinsoku/>
              <w:wordWrap/>
              <w:overflowPunct/>
              <w:topLinePunct w:val="0"/>
              <w:bidi w:val="0"/>
              <w:adjustRightInd/>
              <w:snapToGrid/>
              <w:spacing w:line="360" w:lineRule="auto"/>
              <w:ind w:leftChars="0" w:firstLine="480"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rPr>
              <w:t>根据工程施工组织设计，共</w:t>
            </w:r>
            <w:r>
              <w:rPr>
                <w:rFonts w:hint="default" w:ascii="Times New Roman" w:hAnsi="Times New Roman" w:eastAsia="宋体" w:cs="Times New Roman"/>
                <w:spacing w:val="0"/>
                <w:w w:val="100"/>
                <w:position w:val="0"/>
                <w:sz w:val="24"/>
                <w:szCs w:val="24"/>
                <w:lang w:val="en-US" w:eastAsia="zh-CN"/>
              </w:rPr>
              <w:t>2</w:t>
            </w:r>
            <w:r>
              <w:rPr>
                <w:rFonts w:hint="default" w:ascii="Times New Roman" w:hAnsi="Times New Roman" w:eastAsia="宋体" w:cs="Times New Roman"/>
                <w:spacing w:val="0"/>
                <w:w w:val="100"/>
                <w:position w:val="0"/>
                <w:sz w:val="24"/>
                <w:szCs w:val="24"/>
              </w:rPr>
              <w:t>个施工区</w:t>
            </w:r>
            <w:r>
              <w:rPr>
                <w:rFonts w:hint="default"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工程施工期共产生生活垃圾</w:t>
            </w:r>
            <w:r>
              <w:rPr>
                <w:rFonts w:hint="default" w:ascii="Times New Roman" w:hAnsi="Times New Roman" w:eastAsia="宋体" w:cs="Times New Roman"/>
                <w:spacing w:val="0"/>
                <w:w w:val="100"/>
                <w:position w:val="0"/>
                <w:sz w:val="24"/>
                <w:szCs w:val="24"/>
                <w:lang w:val="en-US" w:eastAsia="zh-CN"/>
              </w:rPr>
              <w:t>14.4</w:t>
            </w:r>
            <w:r>
              <w:rPr>
                <w:rFonts w:hint="default" w:ascii="Times New Roman" w:hAnsi="Times New Roman" w:eastAsia="宋体" w:cs="Times New Roman"/>
                <w:spacing w:val="0"/>
                <w:w w:val="100"/>
                <w:position w:val="0"/>
                <w:sz w:val="24"/>
                <w:szCs w:val="24"/>
              </w:rPr>
              <w:t>t，各施工区设置垃圾桶，并设专人定时进行卫生清理工作，生活垃圾每天集中收集，按施工区所在行政区域，依据市场价格委托环境卫生管理部门进行处理。在采取以上措施后，工程产生的生活垃圾应不会对周边环境造成污染。</w:t>
            </w:r>
          </w:p>
          <w:p>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spacing w:val="0"/>
                <w:w w:val="100"/>
                <w:kern w:val="2"/>
                <w:position w:val="0"/>
                <w:sz w:val="24"/>
                <w:szCs w:val="24"/>
                <w:lang w:val="en-US" w:eastAsia="zh-CN" w:bidi="ar-SA"/>
              </w:rPr>
            </w:pPr>
            <w:r>
              <w:rPr>
                <w:rFonts w:hint="default" w:ascii="Times New Roman" w:hAnsi="Times New Roman" w:eastAsia="宋体" w:cs="Times New Roman"/>
                <w:spacing w:val="0"/>
                <w:w w:val="100"/>
                <w:kern w:val="2"/>
                <w:position w:val="0"/>
                <w:sz w:val="24"/>
                <w:szCs w:val="24"/>
                <w:lang w:val="en-US" w:eastAsia="zh-CN" w:bidi="ar-SA"/>
              </w:rPr>
              <w:t>5、施工期生态环境</w:t>
            </w:r>
          </w:p>
          <w:p>
            <w:pPr>
              <w:pStyle w:val="34"/>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疏浚清淤工程主要对河段进行疏浚开挖，将河底底泥及水中垃圾清除，减少河道底部的氮磷等营养物质再悬浮回到河流水体中。疏浚清淤工程施工时段选在枯水期河道水位较低的时段施工，会造成河道内悬浮物短时间浓度增加，待清淤完成后，河流水体经沉淀后，水质会恢复澄清，同时由于河道内底泥和垃圾被清理，氮磷释放了减少，对河流水休水质会有一定的改善作用。</w:t>
            </w:r>
            <w:r>
              <w:rPr>
                <w:rFonts w:hint="default" w:ascii="Times New Roman" w:hAnsi="Times New Roman" w:eastAsia="宋体" w:cs="Times New Roman"/>
                <w:spacing w:val="0"/>
                <w:w w:val="100"/>
                <w:position w:val="0"/>
                <w:sz w:val="24"/>
                <w:szCs w:val="24"/>
              </w:rPr>
              <w:t>施工期河道不因工程实施而断流</w:t>
            </w:r>
            <w:r>
              <w:rPr>
                <w:rFonts w:hint="default" w:ascii="Times New Roman" w:hAnsi="Times New Roman" w:eastAsia="宋体" w:cs="Times New Roman"/>
                <w:spacing w:val="0"/>
                <w:w w:val="100"/>
                <w:position w:val="0"/>
                <w:sz w:val="24"/>
                <w:szCs w:val="24"/>
                <w:lang w:eastAsia="zh-CN"/>
              </w:rPr>
              <w:t>。</w:t>
            </w:r>
          </w:p>
          <w:p>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kern w:val="0"/>
                <w:position w:val="0"/>
                <w:sz w:val="24"/>
                <w:szCs w:val="24"/>
                <w:lang w:val="en-US" w:eastAsia="zh-CN" w:bidi="ar"/>
              </w:rPr>
              <w:t>施工期对土壤的影响主要是表土扰动，施工期间的污废水排放，固体废物堆存及施工设备漏油等，造成污染物进入土壤环境。表土层对土地的复垦或复绿作用明显，对表土进行剥离堆存保护</w:t>
            </w:r>
            <w:r>
              <w:rPr>
                <w:rFonts w:hint="default" w:ascii="Times New Roman" w:hAnsi="Times New Roman" w:cs="Times New Roman"/>
                <w:spacing w:val="0"/>
                <w:w w:val="100"/>
                <w:kern w:val="0"/>
                <w:position w:val="0"/>
                <w:sz w:val="24"/>
                <w:szCs w:val="24"/>
                <w:lang w:val="en-US" w:eastAsia="zh-CN" w:bidi="ar"/>
              </w:rPr>
              <w:t>，</w:t>
            </w:r>
            <w:r>
              <w:rPr>
                <w:rFonts w:hint="default" w:ascii="Times New Roman" w:hAnsi="Times New Roman" w:eastAsia="宋体" w:cs="Times New Roman"/>
                <w:spacing w:val="0"/>
                <w:w w:val="100"/>
                <w:kern w:val="0"/>
                <w:position w:val="0"/>
                <w:sz w:val="24"/>
                <w:szCs w:val="24"/>
                <w:lang w:val="en-US" w:eastAsia="zh-CN" w:bidi="ar"/>
              </w:rPr>
              <w:t>单独存放。施工过程中要做好表土堆存场的水土保持措施，施工结束后用于临时占地的恢复。</w:t>
            </w:r>
          </w:p>
          <w:p>
            <w:pPr>
              <w:pStyle w:val="34"/>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spacing w:val="0"/>
                <w:w w:val="100"/>
                <w:position w:val="0"/>
                <w:sz w:val="24"/>
                <w:szCs w:val="24"/>
                <w:lang w:val="en-US" w:eastAsia="zh-CN"/>
              </w:rPr>
            </w:pPr>
            <w:r>
              <w:rPr>
                <w:rFonts w:hint="eastAsia" w:ascii="Times New Roman" w:hAnsi="Times New Roman" w:eastAsia="宋体" w:cs="Times New Roman"/>
                <w:spacing w:val="0"/>
                <w:w w:val="100"/>
                <w:position w:val="0"/>
                <w:sz w:val="24"/>
                <w:szCs w:val="24"/>
                <w:lang w:val="en-US" w:eastAsia="zh-CN"/>
              </w:rPr>
              <w:t>5.1</w:t>
            </w:r>
            <w:r>
              <w:rPr>
                <w:rFonts w:hint="default" w:ascii="Times New Roman" w:hAnsi="Times New Roman" w:eastAsia="宋体" w:cs="Times New Roman"/>
                <w:spacing w:val="0"/>
                <w:w w:val="100"/>
                <w:position w:val="0"/>
                <w:sz w:val="24"/>
                <w:szCs w:val="24"/>
                <w:lang w:val="en-US" w:eastAsia="zh-CN"/>
              </w:rPr>
              <w:t>生态保护措施</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评价区以农田、林地、河道和城镇为基础，形成带、块、林、网相交错的斑块不一的景观类型。各类景观类型中，主要斑块有农田、林地、水面，其中</w:t>
            </w:r>
            <w:r>
              <w:rPr>
                <w:rFonts w:hint="eastAsia" w:ascii="Times New Roman" w:hAnsi="Times New Roman" w:eastAsia="宋体" w:cs="Times New Roman"/>
                <w:spacing w:val="0"/>
                <w:w w:val="100"/>
                <w:position w:val="0"/>
                <w:sz w:val="24"/>
                <w:szCs w:val="24"/>
                <w:lang w:eastAsia="zh-CN"/>
              </w:rPr>
              <w:t>水面</w:t>
            </w:r>
            <w:r>
              <w:rPr>
                <w:rFonts w:hint="default" w:ascii="Times New Roman" w:hAnsi="Times New Roman" w:eastAsia="宋体" w:cs="Times New Roman"/>
                <w:spacing w:val="0"/>
                <w:w w:val="100"/>
                <w:position w:val="0"/>
                <w:sz w:val="24"/>
                <w:szCs w:val="24"/>
              </w:rPr>
              <w:t>斑块面积最大，其次是</w:t>
            </w:r>
            <w:r>
              <w:rPr>
                <w:rFonts w:hint="eastAsia" w:ascii="Times New Roman" w:hAnsi="Times New Roman" w:eastAsia="宋体" w:cs="Times New Roman"/>
                <w:spacing w:val="0"/>
                <w:w w:val="100"/>
                <w:position w:val="0"/>
                <w:sz w:val="24"/>
                <w:szCs w:val="24"/>
                <w:lang w:eastAsia="zh-CN"/>
              </w:rPr>
              <w:t>草地</w:t>
            </w:r>
            <w:r>
              <w:rPr>
                <w:rFonts w:hint="default" w:ascii="Times New Roman" w:hAnsi="Times New Roman" w:eastAsia="宋体" w:cs="Times New Roman"/>
                <w:spacing w:val="0"/>
                <w:w w:val="100"/>
                <w:position w:val="0"/>
                <w:sz w:val="24"/>
                <w:szCs w:val="24"/>
              </w:rPr>
              <w:t>和林地。河道沿岸景观分布呈线条、块状，以河流河道为基础向两岸扩展，形成人工植被和农业景观，人工林地大多是单一树种组成，稳定性与抗病性都较差。种群结构和生物链都较为简单，评价区景观生态从总体看，景观构成相应简单，异质镶嵌不明显，稳定性和抗干扰性较差。</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工程建设过程中将扰动大面积的原有地貌，破坏植被，减少评价区绿地斑块数量和面积，其中</w:t>
            </w:r>
            <w:r>
              <w:rPr>
                <w:rFonts w:hint="eastAsia" w:ascii="Times New Roman" w:hAnsi="Times New Roman" w:eastAsia="宋体" w:cs="Times New Roman"/>
                <w:spacing w:val="0"/>
                <w:w w:val="100"/>
                <w:position w:val="0"/>
                <w:sz w:val="24"/>
                <w:szCs w:val="24"/>
                <w:lang w:eastAsia="zh-CN"/>
              </w:rPr>
              <w:t>草</w:t>
            </w:r>
            <w:r>
              <w:rPr>
                <w:rFonts w:hint="default" w:ascii="Times New Roman" w:hAnsi="Times New Roman" w:eastAsia="宋体" w:cs="Times New Roman"/>
                <w:spacing w:val="0"/>
                <w:w w:val="100"/>
                <w:position w:val="0"/>
                <w:sz w:val="24"/>
                <w:szCs w:val="24"/>
              </w:rPr>
              <w:t>绿地受影响面积最大，由于工程永久占地面积相对较小，临时占地在工程结束后及时复耕，对景观的影响是暂时的，所以工程对区域景观不利影响较小。</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工程完工后临时占地进行复耕并在河道两侧设置绿化带，采用乔、灌、草相结合的方式，达到固土、保水、美化环境和改善生态环境的目的，形成新的景观生态系统。这个系统中，乔木、灌木、地被、草本，应该因地制宜地配置在一个群落中，充分利用流域内沿河流形成的景观结构，防止景观的破碎化，采取多种绿化措施，增加景观异质性，为生物多样性提供必须的生存空间，种群间相互协调，有复合的层次和相宜的季相色彩，使具有不同生态特性的植物各得其所，提高系统的恢复能力、抗干扰能力和稳定性，构成稳定多样的群落景观。随着施工结束，植被恢复系数达到97%，3～5 年内水土保持植物措施发挥生态效益，施工区域景观也将恢复到工程建设前，整体的景观格局及主要景观类型没有发何时能变化，工程建设对当地景观影响不大。</w:t>
            </w:r>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right="0"/>
              <w:jc w:val="center"/>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drawing>
                <wp:inline distT="0" distB="0" distL="114300" distR="114300">
                  <wp:extent cx="4819650" cy="3321685"/>
                  <wp:effectExtent l="0" t="0" r="0" b="12065"/>
                  <wp:docPr id="22" name="图片 22" descr="6767eec24521b630f7efcb55f59b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767eec24521b630f7efcb55f59b7b7"/>
                          <pic:cNvPicPr>
                            <a:picLocks noChangeAspect="1"/>
                          </pic:cNvPicPr>
                        </pic:nvPicPr>
                        <pic:blipFill>
                          <a:blip r:embed="rId15"/>
                          <a:srcRect l="603" b="8659"/>
                          <a:stretch>
                            <a:fillRect/>
                          </a:stretch>
                        </pic:blipFill>
                        <pic:spPr>
                          <a:xfrm>
                            <a:off x="0" y="0"/>
                            <a:ext cx="4819650" cy="3321685"/>
                          </a:xfrm>
                          <a:prstGeom prst="rect">
                            <a:avLst/>
                          </a:prstGeom>
                        </pic:spPr>
                      </pic:pic>
                    </a:graphicData>
                  </a:graphic>
                </wp:inline>
              </w:drawing>
            </w:r>
          </w:p>
          <w:p>
            <w:pPr>
              <w:pStyle w:val="9"/>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图5-1 石口村宾格石笼</w:t>
            </w:r>
          </w:p>
          <w:p>
            <w:pPr>
              <w:pStyle w:val="9"/>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drawing>
                <wp:inline distT="0" distB="0" distL="114300" distR="114300">
                  <wp:extent cx="4787265" cy="3590925"/>
                  <wp:effectExtent l="0" t="0" r="13335" b="9525"/>
                  <wp:docPr id="21" name="图片 21" descr="微信图片_202210130811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1308112711"/>
                          <pic:cNvPicPr>
                            <a:picLocks noChangeAspect="1"/>
                          </pic:cNvPicPr>
                        </pic:nvPicPr>
                        <pic:blipFill>
                          <a:blip r:embed="rId21"/>
                          <a:stretch>
                            <a:fillRect/>
                          </a:stretch>
                        </pic:blipFill>
                        <pic:spPr>
                          <a:xfrm>
                            <a:off x="0" y="0"/>
                            <a:ext cx="4787265" cy="3590925"/>
                          </a:xfrm>
                          <a:prstGeom prst="rect">
                            <a:avLst/>
                          </a:prstGeom>
                        </pic:spPr>
                      </pic:pic>
                    </a:graphicData>
                  </a:graphic>
                </wp:inline>
              </w:drawing>
            </w:r>
          </w:p>
          <w:p>
            <w:pPr>
              <w:pStyle w:val="9"/>
              <w:keepNext w:val="0"/>
              <w:keepLines w:val="0"/>
              <w:pageBreakBefore w:val="0"/>
              <w:widowControl w:val="0"/>
              <w:kinsoku/>
              <w:wordWrap/>
              <w:overflowPunct/>
              <w:topLinePunct w:val="0"/>
              <w:autoSpaceDE w:val="0"/>
              <w:autoSpaceDN w:val="0"/>
              <w:bidi w:val="0"/>
              <w:adjustRightInd/>
              <w:snapToGrid/>
              <w:spacing w:before="0" w:after="0" w:line="240" w:lineRule="auto"/>
              <w:ind w:right="0"/>
              <w:jc w:val="center"/>
              <w:textAlignment w:val="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图5-2 中溪集镇堤防</w:t>
            </w:r>
          </w:p>
        </w:tc>
      </w:tr>
    </w:tbl>
    <w:p>
      <w:pPr>
        <w:rPr>
          <w:rFonts w:hint="default" w:ascii="Times New Roman" w:hAnsi="Times New Roman" w:eastAsia="宋体" w:cs="Times New Roman"/>
        </w:rPr>
      </w:pPr>
    </w:p>
    <w:p>
      <w:pPr>
        <w:pStyle w:val="9"/>
        <w:spacing w:before="1"/>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环境影响评价回顾</w:t>
      </w:r>
    </w:p>
    <w:tbl>
      <w:tblPr>
        <w:tblStyle w:val="20"/>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000" w:type="pct"/>
          </w:tcPr>
          <w:p>
            <w:pPr>
              <w:pStyle w:val="9"/>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环境影响评价的</w:t>
            </w:r>
            <w:r>
              <w:rPr>
                <w:rFonts w:hint="default" w:ascii="Times New Roman" w:hAnsi="Times New Roman" w:eastAsia="宋体" w:cs="Times New Roman"/>
                <w:color w:val="auto"/>
                <w:sz w:val="24"/>
                <w:szCs w:val="24"/>
              </w:rPr>
              <w:t>主要环境影响预测及</w:t>
            </w:r>
            <w:r>
              <w:rPr>
                <w:rFonts w:hint="default" w:ascii="Times New Roman" w:hAnsi="Times New Roman" w:eastAsia="宋体" w:cs="Times New Roman"/>
                <w:sz w:val="24"/>
                <w:szCs w:val="24"/>
              </w:rPr>
              <w:t>结论</w:t>
            </w:r>
          </w:p>
          <w:p>
            <w:pPr>
              <w:pStyle w:val="6"/>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2"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1、施工期水文情势影响</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pacing w:val="0"/>
                <w:w w:val="100"/>
                <w:position w:val="0"/>
                <w:sz w:val="24"/>
                <w:szCs w:val="24"/>
              </w:rPr>
              <w:t>施工期水文情势的影响主要为施工导流影响。围堰主要为本工程挡墙基础开挖、混凝土挡墙浇筑、格宾挡墙修建、土工布铺设提供干地施工条件</w:t>
            </w:r>
            <w:r>
              <w:rPr>
                <w:rFonts w:hint="default" w:ascii="Times New Roman" w:hAnsi="Times New Roman" w:eastAsia="宋体" w:cs="Times New Roman"/>
                <w:spacing w:val="0"/>
                <w:w w:val="100"/>
                <w:position w:val="0"/>
                <w:sz w:val="24"/>
                <w:szCs w:val="24"/>
                <w:lang w:eastAsia="zh-CN"/>
              </w:rPr>
              <w:t>。导流方式的选择枯期围堰挡水，分期导流方式。分段施工</w:t>
            </w:r>
            <w:r>
              <w:rPr>
                <w:rFonts w:hint="eastAsia" w:ascii="Times New Roman" w:hAnsi="Times New Roman" w:eastAsia="宋体" w:cs="Times New Roman"/>
                <w:spacing w:val="0"/>
                <w:w w:val="100"/>
                <w:position w:val="0"/>
                <w:sz w:val="24"/>
                <w:szCs w:val="24"/>
                <w:lang w:val="en-US" w:eastAsia="zh-CN"/>
              </w:rPr>
              <w:t>，</w:t>
            </w:r>
            <w:r>
              <w:rPr>
                <w:rFonts w:hint="default" w:ascii="Times New Roman" w:hAnsi="Times New Roman" w:eastAsia="宋体" w:cs="Times New Roman"/>
                <w:spacing w:val="0"/>
                <w:w w:val="100"/>
                <w:position w:val="0"/>
                <w:sz w:val="24"/>
                <w:szCs w:val="24"/>
              </w:rPr>
              <w:t>施工期河道不因工程实施而断流。施工导流是临时施工措施，工程完成后该影响即可恢复至导流前状况。因此，施工导流的影响总体较小，影响过程也较短。</w:t>
            </w:r>
          </w:p>
          <w:p>
            <w:pPr>
              <w:pStyle w:val="6"/>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2"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cs="Times New Roman"/>
                <w:spacing w:val="0"/>
                <w:w w:val="100"/>
                <w:position w:val="0"/>
                <w:sz w:val="24"/>
                <w:szCs w:val="24"/>
                <w:lang w:val="en-US" w:eastAsia="zh-CN"/>
              </w:rPr>
              <w:t>2、</w:t>
            </w:r>
            <w:r>
              <w:rPr>
                <w:rFonts w:hint="default" w:ascii="Times New Roman" w:hAnsi="Times New Roman" w:eastAsia="宋体" w:cs="Times New Roman"/>
                <w:spacing w:val="0"/>
                <w:w w:val="100"/>
                <w:position w:val="0"/>
                <w:sz w:val="24"/>
                <w:szCs w:val="24"/>
                <w:lang w:val="en-US" w:eastAsia="zh-CN"/>
              </w:rPr>
              <w:t>陆生生态影响预测评价</w:t>
            </w:r>
          </w:p>
          <w:p>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position w:val="0"/>
                <w:sz w:val="24"/>
                <w:szCs w:val="24"/>
                <w:lang w:val="en-US" w:eastAsia="zh-CN"/>
              </w:rPr>
              <w:t>本工程拟实施的新建堤防、堤防加固、岸坡防护等以及施工临时占地将造成评价区植被面积直接减少，导致区域自然体系生产能力和稳定状况发生改变，对本区域自然体系生态完整性产生一定影响</w:t>
            </w:r>
            <w:r>
              <w:rPr>
                <w:rFonts w:hint="default" w:ascii="Times New Roman" w:hAnsi="Times New Roman" w:eastAsia="宋体" w:cs="Times New Roman"/>
                <w:spacing w:val="0"/>
                <w:w w:val="100"/>
                <w:kern w:val="0"/>
                <w:position w:val="0"/>
                <w:sz w:val="24"/>
                <w:szCs w:val="24"/>
                <w:lang w:val="en-US" w:eastAsia="zh-CN" w:bidi="ar"/>
              </w:rPr>
              <w:t>。为减小对</w:t>
            </w:r>
            <w:r>
              <w:rPr>
                <w:rFonts w:hint="default" w:ascii="Times New Roman" w:hAnsi="Times New Roman" w:cs="Times New Roman"/>
                <w:spacing w:val="0"/>
                <w:w w:val="100"/>
                <w:kern w:val="0"/>
                <w:position w:val="0"/>
                <w:sz w:val="24"/>
                <w:szCs w:val="24"/>
                <w:lang w:val="en-US" w:eastAsia="zh-CN" w:bidi="ar"/>
              </w:rPr>
              <w:t>生态环境</w:t>
            </w:r>
            <w:r>
              <w:rPr>
                <w:rFonts w:hint="default" w:ascii="Times New Roman" w:hAnsi="Times New Roman" w:eastAsia="宋体" w:cs="Times New Roman"/>
                <w:spacing w:val="0"/>
                <w:w w:val="100"/>
                <w:kern w:val="0"/>
                <w:position w:val="0"/>
                <w:sz w:val="24"/>
                <w:szCs w:val="24"/>
                <w:lang w:val="en-US" w:eastAsia="zh-CN" w:bidi="ar"/>
              </w:rPr>
              <w:t>的影响，设计单位在初设阶段尽量优化工程布局，施工期间，将同步实施水土保持工程和堤防护坡工程，工程完工后，将在临时占地区内进行复垦，可在一定程度上减缓工程建设对区域植被的不利影响。</w:t>
            </w:r>
          </w:p>
          <w:p>
            <w:pPr>
              <w:pStyle w:val="6"/>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2"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spacing w:val="0"/>
                <w:w w:val="100"/>
                <w:position w:val="0"/>
                <w:sz w:val="24"/>
                <w:szCs w:val="24"/>
                <w:lang w:val="en-US" w:eastAsia="zh-CN"/>
              </w:rPr>
              <w:t>施工期水生生态影响</w:t>
            </w:r>
          </w:p>
          <w:p>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pacing w:val="0"/>
                <w:w w:val="100"/>
                <w:position w:val="0"/>
                <w:sz w:val="24"/>
                <w:szCs w:val="24"/>
                <w:lang w:eastAsia="zh-CN"/>
              </w:rPr>
            </w:pPr>
            <w:r>
              <w:rPr>
                <w:rFonts w:hint="default" w:ascii="Times New Roman" w:hAnsi="Times New Roman" w:eastAsia="宋体" w:cs="Times New Roman"/>
                <w:spacing w:val="0"/>
                <w:w w:val="100"/>
                <w:kern w:val="0"/>
                <w:position w:val="0"/>
                <w:sz w:val="24"/>
                <w:szCs w:val="24"/>
                <w:lang w:val="en-US" w:eastAsia="zh-CN" w:bidi="ar"/>
              </w:rPr>
              <w:t>根据水利工程施工特点，本工程大部分施工任务安排在枯水期进行，堤防加固工程、护坡护岸工程多在干地施工，基本不涉水，施工区距河流有一定距离对水生生境影响很小。对水生生境有影响的工程或施工环节主要为施工围堰填筑、河道疏浚。施工建设可能会降低施工点周边局部小范围的浮游动、植物的生物量，但不会对评价区域内浮游动、植物的整体种类、结构组成造成影响，只是对局部的数量有一定的影响，且这种影响是暂时的，会随着施工的结束而逐渐得到恢复。</w:t>
            </w:r>
          </w:p>
          <w:p>
            <w:pPr>
              <w:pStyle w:val="6"/>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2" w:firstLineChars="200"/>
              <w:jc w:val="left"/>
              <w:textAlignment w:val="auto"/>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spacing w:val="0"/>
                <w:w w:val="100"/>
                <w:position w:val="0"/>
                <w:sz w:val="24"/>
                <w:szCs w:val="24"/>
                <w:lang w:val="en-US" w:eastAsia="zh-CN"/>
              </w:rPr>
              <w:t>4、施工期地表水水质影响</w:t>
            </w:r>
            <w:bookmarkStart w:id="0" w:name="_GoBack"/>
            <w:bookmarkEnd w:id="0"/>
          </w:p>
          <w:p>
            <w:pPr>
              <w:pStyle w:val="9"/>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rPr>
              <w:t>工程施工期水污染源主要包括生产废水和生活污水。生产废水主要包括基坑排水、施工机械冲洗产生的含油废水等。生活污水主要来源于施工期进场的管理人员和施工人员的生活排水。河道疏浚工程会对水体悬浮物浓度产生影响。本工程分布分散，生活污水量较小，施工生活污水对地表水环境的影响随施工活动的结束而消失</w:t>
            </w:r>
            <w:r>
              <w:rPr>
                <w:rFonts w:hint="default"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基坑排水、施工机械冲洗</w:t>
            </w:r>
            <w:r>
              <w:rPr>
                <w:rFonts w:hint="default" w:ascii="Times New Roman" w:hAnsi="Times New Roman" w:eastAsia="宋体" w:cs="Times New Roman"/>
                <w:spacing w:val="0"/>
                <w:w w:val="100"/>
                <w:position w:val="0"/>
                <w:sz w:val="24"/>
                <w:szCs w:val="24"/>
                <w:lang w:val="en-US" w:eastAsia="zh-CN"/>
              </w:rPr>
              <w:t>废水</w:t>
            </w:r>
            <w:r>
              <w:rPr>
                <w:rFonts w:hint="default" w:ascii="Times New Roman" w:hAnsi="Times New Roman" w:eastAsia="宋体" w:cs="Times New Roman"/>
                <w:spacing w:val="0"/>
                <w:w w:val="100"/>
                <w:position w:val="0"/>
                <w:sz w:val="24"/>
                <w:szCs w:val="24"/>
              </w:rPr>
              <w:t>可循环使用</w:t>
            </w:r>
            <w:r>
              <w:rPr>
                <w:rFonts w:hint="default"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多余部分可作为施工场地洒水抑尘用水，不排放。</w:t>
            </w:r>
          </w:p>
          <w:p>
            <w:pPr>
              <w:pStyle w:val="5"/>
              <w:pageBreakBefore w:val="0"/>
              <w:numPr>
                <w:ilvl w:val="0"/>
                <w:numId w:val="0"/>
              </w:numPr>
              <w:kinsoku/>
              <w:wordWrap/>
              <w:topLinePunct w:val="0"/>
              <w:bidi w:val="0"/>
              <w:adjustRightInd/>
              <w:snapToGrid/>
              <w:spacing w:before="0" w:after="0"/>
              <w:ind w:leftChars="0" w:firstLine="482" w:firstLineChars="200"/>
              <w:jc w:val="left"/>
              <w:textAlignment w:val="auto"/>
              <w:outlineLvl w:val="0"/>
              <w:rPr>
                <w:rFonts w:hint="default" w:ascii="Times New Roman" w:hAnsi="Times New Roman" w:eastAsia="宋体" w:cs="Times New Roman"/>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lang w:val="en-US" w:eastAsia="zh-CN"/>
              </w:rPr>
              <w:t>5、</w:t>
            </w:r>
            <w:r>
              <w:rPr>
                <w:rFonts w:hint="default" w:ascii="Times New Roman" w:hAnsi="Times New Roman" w:eastAsia="宋体" w:cs="Times New Roman"/>
                <w:spacing w:val="0"/>
                <w:w w:val="100"/>
                <w:position w:val="0"/>
                <w:sz w:val="24"/>
                <w:szCs w:val="24"/>
                <w:lang w:val="en-US" w:eastAsia="zh-CN"/>
              </w:rPr>
              <w:t>大气环境影响分析</w:t>
            </w:r>
          </w:p>
          <w:p>
            <w:pPr>
              <w:pStyle w:val="9"/>
              <w:keepNext w:val="0"/>
              <w:keepLines w:val="0"/>
              <w:pageBreakBefore w:val="0"/>
              <w:widowControl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pacing w:val="0"/>
                <w:w w:val="100"/>
                <w:position w:val="0"/>
                <w:sz w:val="24"/>
                <w:szCs w:val="24"/>
              </w:rPr>
            </w:pPr>
            <w:r>
              <w:rPr>
                <w:rFonts w:hint="default" w:ascii="Times New Roman" w:hAnsi="Times New Roman" w:eastAsia="宋体" w:cs="Times New Roman"/>
                <w:spacing w:val="0"/>
                <w:w w:val="100"/>
                <w:position w:val="0"/>
                <w:sz w:val="24"/>
                <w:szCs w:val="24"/>
              </w:rPr>
              <w:t>根据本项目的特点，本工程对于环境空气的影响仅限于施工期，施工对空气污染主要来自于施工机械</w:t>
            </w:r>
            <w:r>
              <w:rPr>
                <w:rFonts w:hint="default" w:ascii="Times New Roman" w:hAnsi="Times New Roman" w:eastAsia="宋体" w:cs="Times New Roman"/>
                <w:color w:val="auto"/>
                <w:spacing w:val="0"/>
                <w:w w:val="100"/>
                <w:kern w:val="2"/>
                <w:position w:val="0"/>
                <w:sz w:val="24"/>
                <w:szCs w:val="24"/>
                <w:vertAlign w:val="baseline"/>
                <w:lang w:val="en-US" w:eastAsia="zh-CN" w:bidi="ar-SA"/>
              </w:rPr>
              <w:t>燃油废气、施工扬尘等，主要污染物包括 SO</w:t>
            </w:r>
            <w:r>
              <w:rPr>
                <w:rFonts w:hint="default" w:ascii="Times New Roman" w:hAnsi="Times New Roman" w:eastAsia="宋体" w:cs="Times New Roman"/>
                <w:color w:val="auto"/>
                <w:spacing w:val="0"/>
                <w:w w:val="100"/>
                <w:kern w:val="2"/>
                <w:position w:val="0"/>
                <w:sz w:val="24"/>
                <w:szCs w:val="24"/>
                <w:vertAlign w:val="subscript"/>
                <w:lang w:val="en-US" w:eastAsia="zh-CN" w:bidi="ar-SA"/>
              </w:rPr>
              <w:t>2</w:t>
            </w:r>
            <w:r>
              <w:rPr>
                <w:rFonts w:hint="default" w:ascii="Times New Roman" w:hAnsi="Times New Roman" w:eastAsia="宋体" w:cs="Times New Roman"/>
                <w:color w:val="auto"/>
                <w:spacing w:val="0"/>
                <w:w w:val="100"/>
                <w:kern w:val="2"/>
                <w:position w:val="0"/>
                <w:sz w:val="24"/>
                <w:szCs w:val="24"/>
                <w:vertAlign w:val="baseline"/>
                <w:lang w:val="en-US" w:eastAsia="zh-CN" w:bidi="ar-SA"/>
              </w:rPr>
              <w:t>、NO</w:t>
            </w:r>
            <w:r>
              <w:rPr>
                <w:rFonts w:hint="default" w:ascii="Times New Roman" w:hAnsi="Times New Roman" w:eastAsia="宋体" w:cs="Times New Roman"/>
                <w:color w:val="auto"/>
                <w:spacing w:val="0"/>
                <w:w w:val="100"/>
                <w:kern w:val="2"/>
                <w:position w:val="0"/>
                <w:sz w:val="24"/>
                <w:szCs w:val="24"/>
                <w:vertAlign w:val="subscript"/>
                <w:lang w:val="en-US" w:eastAsia="zh-CN" w:bidi="ar-SA"/>
              </w:rPr>
              <w:t>x</w:t>
            </w:r>
            <w:r>
              <w:rPr>
                <w:rFonts w:hint="default" w:ascii="Times New Roman" w:hAnsi="Times New Roman" w:eastAsia="宋体" w:cs="Times New Roman"/>
                <w:color w:val="auto"/>
                <w:spacing w:val="0"/>
                <w:w w:val="100"/>
                <w:kern w:val="2"/>
                <w:position w:val="0"/>
                <w:sz w:val="24"/>
                <w:szCs w:val="24"/>
                <w:vertAlign w:val="baseline"/>
                <w:lang w:val="en-US" w:eastAsia="zh-CN" w:bidi="ar-SA"/>
              </w:rPr>
              <w:t>、CO、TSP等。施工期燃油废气多为流动性、间歇性排放，污染强度不大，因此燃油废气排放强度十分有限。此外，考虑工程施工场地位于农村旷野，地势平坦开阔，冬季天气以晴朗多风为主，大气扩散条件好。施工工区扬尘，可通过调整施工工区设备设施布置、加强物料覆盖</w:t>
            </w:r>
            <w:r>
              <w:rPr>
                <w:rFonts w:hint="default" w:ascii="Times New Roman" w:hAnsi="Times New Roman" w:cs="Times New Roman"/>
                <w:spacing w:val="0"/>
                <w:w w:val="100"/>
                <w:position w:val="0"/>
                <w:sz w:val="24"/>
                <w:szCs w:val="24"/>
              </w:rPr>
              <w:t>并定时洒水，以降低扬尘对周边环境带来的可能影响。</w:t>
            </w:r>
          </w:p>
          <w:p>
            <w:pPr>
              <w:pStyle w:val="4"/>
              <w:keepNext w:val="0"/>
              <w:keepLines w:val="0"/>
              <w:pageBreakBefore w:val="0"/>
              <w:widowControl w:val="0"/>
              <w:numPr>
                <w:ilvl w:val="0"/>
                <w:numId w:val="0"/>
              </w:numPr>
              <w:tabs>
                <w:tab w:val="left" w:pos="1323"/>
              </w:tabs>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jc w:val="left"/>
              <w:textAlignment w:val="auto"/>
              <w:rPr>
                <w:rFonts w:hint="default" w:ascii="Times New Roman" w:hAnsi="Times New Roman" w:cs="Times New Roman"/>
                <w:b/>
                <w:bCs/>
                <w:spacing w:val="0"/>
                <w:w w:val="100"/>
                <w:position w:val="0"/>
                <w:sz w:val="24"/>
                <w:lang w:val="en-US" w:eastAsia="zh-CN"/>
              </w:rPr>
            </w:pPr>
            <w:r>
              <w:rPr>
                <w:rFonts w:hint="default" w:ascii="Times New Roman" w:hAnsi="Times New Roman" w:cs="Times New Roman"/>
                <w:spacing w:val="0"/>
                <w:w w:val="100"/>
                <w:position w:val="0"/>
                <w:sz w:val="24"/>
                <w:szCs w:val="24"/>
                <w:lang w:val="en-US" w:eastAsia="zh-CN"/>
              </w:rPr>
              <w:t>6、</w:t>
            </w:r>
            <w:r>
              <w:rPr>
                <w:rFonts w:hint="default" w:ascii="Times New Roman" w:hAnsi="Times New Roman" w:cs="Times New Roman"/>
                <w:b/>
                <w:bCs/>
                <w:spacing w:val="0"/>
                <w:w w:val="100"/>
                <w:position w:val="0"/>
                <w:sz w:val="24"/>
                <w:lang w:val="en-US" w:eastAsia="zh-CN"/>
              </w:rPr>
              <w:t>施工期声环境影响分析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pacing w:val="0"/>
                <w:w w:val="100"/>
                <w:kern w:val="2"/>
                <w:position w:val="0"/>
                <w:sz w:val="24"/>
                <w:szCs w:val="24"/>
                <w:vertAlign w:val="baseline"/>
                <w:lang w:val="en-US" w:eastAsia="zh-CN" w:bidi="ar-SA"/>
              </w:rPr>
            </w:pPr>
            <w:r>
              <w:rPr>
                <w:rFonts w:hint="default" w:ascii="Times New Roman" w:hAnsi="Times New Roman" w:eastAsia="宋体" w:cs="Times New Roman"/>
                <w:color w:val="auto"/>
                <w:spacing w:val="0"/>
                <w:w w:val="100"/>
                <w:kern w:val="2"/>
                <w:position w:val="0"/>
                <w:sz w:val="24"/>
                <w:szCs w:val="24"/>
                <w:vertAlign w:val="baseline"/>
                <w:lang w:val="en-US" w:eastAsia="zh-CN" w:bidi="ar-SA"/>
              </w:rPr>
              <w:t>施工期噪声源主要来自施工开挖、混凝土浇筑、土石方填筑等施工活动以及挖掘机、推土机等施工机械运行以及车辆运输等。合理布局施工时段，夜间禁止施工，加强对敏感点的噪声防护等管理措施的基础上，可最大限度的减少施工期噪声对敏感点的影响。</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bCs/>
                <w:color w:val="auto"/>
                <w:spacing w:val="0"/>
                <w:w w:val="100"/>
                <w:kern w:val="2"/>
                <w:position w:val="0"/>
                <w:sz w:val="24"/>
                <w:szCs w:val="24"/>
                <w:vertAlign w:val="baseline"/>
                <w:lang w:val="en-US" w:eastAsia="zh-CN" w:bidi="ar-SA"/>
              </w:rPr>
            </w:pPr>
            <w:r>
              <w:rPr>
                <w:rFonts w:hint="default" w:ascii="Times New Roman" w:hAnsi="Times New Roman" w:eastAsia="宋体" w:cs="Times New Roman"/>
                <w:b/>
                <w:bCs/>
                <w:color w:val="auto"/>
                <w:spacing w:val="0"/>
                <w:w w:val="100"/>
                <w:kern w:val="2"/>
                <w:position w:val="0"/>
                <w:sz w:val="24"/>
                <w:szCs w:val="24"/>
                <w:vertAlign w:val="baseline"/>
                <w:lang w:val="en-US" w:eastAsia="zh-CN" w:bidi="ar-SA"/>
              </w:rPr>
              <w:t>7、施工期固废影响</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pacing w:val="0"/>
                <w:w w:val="100"/>
                <w:kern w:val="2"/>
                <w:position w:val="0"/>
                <w:sz w:val="24"/>
                <w:szCs w:val="24"/>
                <w:vertAlign w:val="baseline"/>
                <w:lang w:val="en-US" w:eastAsia="zh-CN" w:bidi="ar-SA"/>
              </w:rPr>
            </w:pPr>
            <w:r>
              <w:rPr>
                <w:rFonts w:hint="default" w:ascii="Times New Roman" w:hAnsi="Times New Roman" w:eastAsia="宋体" w:cs="Times New Roman"/>
                <w:color w:val="auto"/>
                <w:spacing w:val="0"/>
                <w:w w:val="100"/>
                <w:kern w:val="2"/>
                <w:position w:val="0"/>
                <w:sz w:val="24"/>
                <w:szCs w:val="24"/>
                <w:vertAlign w:val="baseline"/>
                <w:lang w:val="en-US" w:eastAsia="zh-CN" w:bidi="ar-SA"/>
              </w:rPr>
              <w:t>本工程施工期产生的固体废弃物主要为施工弃土、建筑垃圾、施工人员生活垃圾等固体废弃物。采取相应的措施将弃渣运至指定国投石料场，将建筑垃圾部分利用其它运至当地容行政管理部门指定的场所堆放，生活垃圾委托环境卫生管理部门进行处理，将会大大减少对环境的影响。</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bCs/>
                <w:color w:val="auto"/>
                <w:spacing w:val="0"/>
                <w:w w:val="100"/>
                <w:kern w:val="2"/>
                <w:position w:val="0"/>
                <w:sz w:val="24"/>
                <w:szCs w:val="24"/>
                <w:vertAlign w:val="baseline"/>
                <w:lang w:val="en-US" w:eastAsia="zh-CN" w:bidi="ar-SA"/>
              </w:rPr>
            </w:pPr>
            <w:r>
              <w:rPr>
                <w:rFonts w:hint="default" w:ascii="Times New Roman" w:hAnsi="Times New Roman" w:eastAsia="宋体" w:cs="Times New Roman"/>
                <w:b/>
                <w:bCs/>
                <w:color w:val="auto"/>
                <w:spacing w:val="0"/>
                <w:w w:val="100"/>
                <w:kern w:val="2"/>
                <w:position w:val="0"/>
                <w:sz w:val="24"/>
                <w:szCs w:val="24"/>
                <w:vertAlign w:val="baseline"/>
                <w:lang w:val="en-US" w:eastAsia="zh-CN" w:bidi="ar-SA"/>
              </w:rPr>
              <w:t>8、土壤环境影响分析</w:t>
            </w:r>
          </w:p>
          <w:p>
            <w:pPr>
              <w:pStyle w:val="18"/>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pacing w:val="0"/>
                <w:w w:val="100"/>
                <w:kern w:val="2"/>
                <w:position w:val="0"/>
                <w:sz w:val="24"/>
                <w:szCs w:val="24"/>
                <w:vertAlign w:val="baseline"/>
                <w:lang w:val="en-US" w:eastAsia="zh-CN" w:bidi="ar-SA"/>
              </w:rPr>
            </w:pPr>
            <w:r>
              <w:rPr>
                <w:rFonts w:hint="default" w:ascii="Times New Roman" w:hAnsi="Times New Roman" w:eastAsia="宋体" w:cs="Times New Roman"/>
                <w:color w:val="auto"/>
                <w:spacing w:val="0"/>
                <w:w w:val="100"/>
                <w:kern w:val="2"/>
                <w:position w:val="0"/>
                <w:sz w:val="24"/>
                <w:szCs w:val="24"/>
                <w:vertAlign w:val="baseline"/>
                <w:lang w:val="en-US" w:eastAsia="zh-CN" w:bidi="ar-SA"/>
              </w:rPr>
              <w:t>施工期对土壤的影响主要是表土扰动，施工期间的污废水排放，固体废物堆存及施工设备漏油等，造成污染物进入土壤环境。在对临时占地进行表土剥离，单独存放，施工过程中做好表土堆存场的水土保持措施，施工结束后对临时占地的恢复，施工期生产废水收集处理后再用于施工机械冲洗、维护或施工场地和道路洒水降尘，做到不外排等措施的情况下，将不会造成污染物进入土壤环境。</w:t>
            </w:r>
          </w:p>
          <w:p>
            <w:pPr>
              <w:keepNext w:val="0"/>
              <w:keepLines w:val="0"/>
              <w:pageBreakBefore w:val="0"/>
              <w:widowControl w:val="0"/>
              <w:kinsoku/>
              <w:wordWrap/>
              <w:topLinePunct w:val="0"/>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color w:val="auto"/>
                <w:spacing w:val="0"/>
                <w:w w:val="100"/>
                <w:kern w:val="2"/>
                <w:position w:val="0"/>
                <w:sz w:val="24"/>
                <w:szCs w:val="24"/>
                <w:vertAlign w:val="baseline"/>
                <w:lang w:val="en-US" w:eastAsia="zh-CN" w:bidi="ar-SA"/>
              </w:rPr>
              <w:t>东津河石口至沙埠段河道治理工程是以防</w:t>
            </w:r>
            <w:r>
              <w:rPr>
                <w:rFonts w:hint="default" w:ascii="Times New Roman" w:hAnsi="Times New Roman" w:eastAsia="宋体" w:cs="Times New Roman"/>
                <w:color w:val="auto"/>
                <w:sz w:val="24"/>
                <w:szCs w:val="24"/>
                <w:lang w:val="en-US" w:eastAsia="zh-CN"/>
              </w:rPr>
              <w:t>洪为主要任务的水利工程，属于《产业结构调整指导目录（2019 年本）》中鼓励类水利项目，项目建设符合国家产业政策；工程建设对环境的不利影响主要表现为：工程施工对生态环境、河道水质的影响，施工期“三废”及噪声排放对周边居民生产、生活的影响，以及工程占地对土地资源、社会环境产生的影响。工程在采取优化调整、避让或减轻不利影响的综合环境保护措施后，其不利影响可以得到有效消除或减缓，同时项目建设提高了东津河的防洪能力，提供了东津河的生态流量。从环境影响角度分析，工程建设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000" w:type="pct"/>
            <w:tcBorders>
              <w:bottom w:val="single" w:color="000000" w:sz="6" w:space="0"/>
            </w:tcBorders>
          </w:tcPr>
          <w:p>
            <w:pPr>
              <w:pStyle w:val="9"/>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各级环境保护行政主管部门的审批意见</w:t>
            </w:r>
          </w:p>
          <w:p>
            <w:pPr>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lang w:eastAsia="zh-CN"/>
              </w:rPr>
            </w:pPr>
            <w:r>
              <w:rPr>
                <w:rFonts w:hint="eastAsia" w:ascii="Times New Roman" w:hAnsi="Times New Roman" w:eastAsia="宋体" w:cs="Times New Roman"/>
                <w:sz w:val="24"/>
                <w:szCs w:val="24"/>
                <w:lang w:eastAsia="zh-CN"/>
              </w:rPr>
              <w:t>宣城市宁国市生态环境分局</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关于宁国市水利局东津河石口至沙埠段河道治理工程环境影响报告表的复函</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宁环审批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2022</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37号</w:t>
            </w:r>
            <w:r>
              <w:rPr>
                <w:rFonts w:hint="default" w:ascii="Times New Roman" w:hAnsi="Times New Roman" w:eastAsia="宋体" w:cs="Times New Roman"/>
                <w:sz w:val="24"/>
                <w:szCs w:val="24"/>
                <w:lang w:eastAsia="zh-CN"/>
              </w:rPr>
              <w:t>）</w:t>
            </w:r>
          </w:p>
          <w:p>
            <w:pPr>
              <w:pStyle w:val="2"/>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一、宁国市水利局东津河石口至沙埠段河道治理工程治理范围为东津河石口至沙埠段，本次评价范围起于中溪镇石口孚石坝（桩号17+900），终于红桥村下游（桩号25+000）。主要内容有集镇防洪工程、岸坡防护工程、河道疏浚工程等。项目经宁国市发展改革委员会备案，项目代码：2020-341881-76-01-030741。经我局研究，原则同意该项目建设。</w:t>
            </w:r>
          </w:p>
          <w:p>
            <w:pPr>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二、项目工程废水及基坑排水排放执行《城市污水再生利用 城市杂用水水质》（GB/T18920-2002）中建筑施工杂用水水质标准，生活污水排放执行《农田灌溉水质标准》（GB5084-2021）旱地作物标准。</w:t>
            </w:r>
          </w:p>
          <w:p>
            <w:pPr>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三、项目施工期废气排放执行《大气污染物综合排放标准》（GB16297-1996）表2中无组织排放监控浓度限值。</w:t>
            </w:r>
          </w:p>
          <w:p>
            <w:pPr>
              <w:pStyle w:val="2"/>
              <w:pageBreakBefore w:val="0"/>
              <w:widowControl w:val="0"/>
              <w:numPr>
                <w:ilvl w:val="3"/>
                <w:numId w:val="0"/>
              </w:numPr>
              <w:tabs>
                <w:tab w:val="left" w:pos="598"/>
              </w:tabs>
              <w:kinsoku/>
              <w:wordWrap/>
              <w:overflowPunct/>
              <w:topLinePunct w:val="0"/>
              <w:autoSpaceDE/>
              <w:autoSpaceDN/>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四、项目施工期噪声排放执行《建筑施工场界环境噪声排放标准》（GB12523-2011）。</w:t>
            </w:r>
          </w:p>
          <w:p>
            <w:pPr>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五、项目一般固废处理处置执行《一般工业固体废物贮存和填埋污染控制标准》(GB18599-2020)有关规定；危险固体废物须委托有相应资质的单位按照国家有关规定妥善处理处置，危险废物暂存设施需符合《危险废物贮存污染控制标准》（GB18597-2001）及2013年修改单、《中华人民共和国固体废物环境防治法》（2020年04月30日）要求。</w:t>
            </w:r>
          </w:p>
          <w:p>
            <w:pPr>
              <w:pStyle w:val="2"/>
              <w:pageBreakBefore w:val="0"/>
              <w:widowControl w:val="0"/>
              <w:numPr>
                <w:ilvl w:val="3"/>
                <w:numId w:val="0"/>
              </w:numPr>
              <w:kinsoku/>
              <w:wordWrap/>
              <w:overflowPunct/>
              <w:topLinePunct w:val="0"/>
              <w:autoSpaceDE/>
              <w:autoSpaceDN/>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六、项目建成后严格执行排污许可制定。</w:t>
            </w:r>
          </w:p>
          <w:p>
            <w:pPr>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kern w:val="2"/>
                <w:sz w:val="24"/>
                <w:szCs w:val="24"/>
                <w:lang w:val="en-US" w:eastAsia="zh-CN" w:bidi="ar-SA"/>
              </w:rPr>
              <w:t>七、项目竣工后，你单位应当按照国务院环境保护行政主管部门规定的标准和程序，对配套建设的环境保护设施进行验收，编制验收报告报我局并应当依法向社会公开验收报告。我局负责对建设项目环境保护设施设计、施工、验收、投入生产或者对使用情况，以及有关环境影响评价文件确定的其他环境保护措施的落实情况，进行督查检查。</w:t>
            </w:r>
          </w:p>
          <w:p>
            <w:pPr>
              <w:pStyle w:val="34"/>
              <w:rPr>
                <w:rFonts w:hint="default" w:ascii="Times New Roman" w:hAnsi="Times New Roman" w:eastAsia="宋体" w:cs="Times New Roman"/>
                <w:sz w:val="20"/>
              </w:rPr>
            </w:pPr>
          </w:p>
        </w:tc>
      </w:tr>
    </w:tbl>
    <w:p>
      <w:pPr>
        <w:rPr>
          <w:rFonts w:hint="default" w:ascii="Times New Roman" w:hAnsi="Times New Roman" w:eastAsia="宋体" w:cs="Times New Roman"/>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9"/>
        <w:tabs>
          <w:tab w:val="left" w:pos="788"/>
        </w:tabs>
        <w:spacing w:before="68"/>
        <w:ind w:right="274"/>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环境保护措施执行情况</w:t>
      </w:r>
    </w:p>
    <w:tbl>
      <w:tblPr>
        <w:tblStyle w:val="20"/>
        <w:tblW w:w="504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0"/>
        <w:gridCol w:w="1103"/>
        <w:gridCol w:w="2178"/>
        <w:gridCol w:w="3283"/>
        <w:gridCol w:w="1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937" w:type="pct"/>
            <w:gridSpan w:val="2"/>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阶段</w:t>
            </w:r>
          </w:p>
        </w:tc>
        <w:tc>
          <w:tcPr>
            <w:tcW w:w="129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环境影响报告表及审批文件中要求的环境保护措施</w:t>
            </w:r>
          </w:p>
        </w:tc>
        <w:tc>
          <w:tcPr>
            <w:tcW w:w="1955"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环境保护措施的</w:t>
            </w:r>
          </w:p>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落实情况</w:t>
            </w:r>
          </w:p>
        </w:tc>
        <w:tc>
          <w:tcPr>
            <w:tcW w:w="809"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措施的执行效果及未采取措施的原因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280" w:type="pct"/>
            <w:vMerge w:val="restart"/>
            <w:vAlign w:val="center"/>
          </w:tcPr>
          <w:p>
            <w:pPr>
              <w:pStyle w:val="34"/>
              <w:jc w:val="center"/>
              <w:rPr>
                <w:rFonts w:hint="default" w:ascii="Times New Roman" w:hAnsi="Times New Roman" w:eastAsia="宋体" w:cs="Times New Roman"/>
                <w:sz w:val="21"/>
                <w:szCs w:val="21"/>
              </w:rPr>
            </w:pPr>
          </w:p>
          <w:p>
            <w:pPr>
              <w:pStyle w:val="34"/>
              <w:jc w:val="center"/>
              <w:rPr>
                <w:rFonts w:hint="default" w:ascii="Times New Roman" w:hAnsi="Times New Roman" w:eastAsia="宋体" w:cs="Times New Roman"/>
                <w:sz w:val="21"/>
                <w:szCs w:val="21"/>
              </w:rPr>
            </w:pPr>
          </w:p>
          <w:p>
            <w:pPr>
              <w:pStyle w:val="34"/>
              <w:jc w:val="center"/>
              <w:rPr>
                <w:rFonts w:hint="default" w:ascii="Times New Roman" w:hAnsi="Times New Roman" w:eastAsia="宋体" w:cs="Times New Roman"/>
                <w:sz w:val="21"/>
                <w:szCs w:val="21"/>
              </w:rPr>
            </w:pPr>
          </w:p>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w:t>
            </w:r>
          </w:p>
        </w:tc>
        <w:tc>
          <w:tcPr>
            <w:tcW w:w="65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生态影响</w:t>
            </w:r>
          </w:p>
        </w:tc>
        <w:tc>
          <w:tcPr>
            <w:tcW w:w="1297" w:type="pct"/>
            <w:vAlign w:val="center"/>
          </w:tcPr>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①植被恢复</w:t>
            </w:r>
            <w:r>
              <w:rPr>
                <w:rFonts w:hint="eastAsia" w:ascii="Times New Roman" w:hAnsi="Times New Roman" w:eastAsia="宋体" w:cs="Times New Roman"/>
                <w:spacing w:val="0"/>
                <w:w w:val="100"/>
                <w:position w:val="0"/>
                <w:sz w:val="21"/>
                <w:szCs w:val="21"/>
                <w:lang w:val="zh-CN" w:eastAsia="zh-CN" w:bidi="zh-CN"/>
              </w:rPr>
              <w:t>。</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②取弃土场表土收集，及时复耕。</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eastAsia"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③东津河河道底栖</w:t>
            </w:r>
            <w:r>
              <w:rPr>
                <w:rFonts w:hint="eastAsia" w:ascii="Times New Roman" w:hAnsi="Times New Roman" w:eastAsia="宋体" w:cs="Times New Roman"/>
                <w:spacing w:val="0"/>
                <w:w w:val="100"/>
                <w:position w:val="0"/>
                <w:sz w:val="21"/>
                <w:szCs w:val="21"/>
                <w:lang w:val="zh-CN" w:eastAsia="zh-CN" w:bidi="zh-CN"/>
              </w:rPr>
              <w:t>生态环境</w:t>
            </w:r>
            <w:r>
              <w:rPr>
                <w:rFonts w:hint="default" w:ascii="Times New Roman" w:hAnsi="Times New Roman" w:eastAsia="宋体" w:cs="Times New Roman"/>
                <w:spacing w:val="0"/>
                <w:w w:val="100"/>
                <w:position w:val="0"/>
                <w:sz w:val="21"/>
                <w:szCs w:val="21"/>
                <w:lang w:val="zh-CN" w:eastAsia="zh-CN" w:bidi="zh-CN"/>
              </w:rPr>
              <w:t>修复</w:t>
            </w:r>
            <w:r>
              <w:rPr>
                <w:rFonts w:hint="eastAsia" w:ascii="Times New Roman" w:hAnsi="Times New Roman" w:eastAsia="宋体" w:cs="Times New Roman"/>
                <w:spacing w:val="0"/>
                <w:w w:val="100"/>
                <w:position w:val="0"/>
                <w:sz w:val="21"/>
                <w:szCs w:val="21"/>
                <w:lang w:val="zh-CN" w:eastAsia="zh-CN" w:bidi="zh-CN"/>
              </w:rPr>
              <w:t>，</w:t>
            </w:r>
            <w:r>
              <w:rPr>
                <w:rFonts w:hint="default" w:ascii="Times New Roman" w:hAnsi="Times New Roman" w:eastAsia="宋体" w:cs="Times New Roman"/>
                <w:spacing w:val="0"/>
                <w:w w:val="100"/>
                <w:position w:val="0"/>
                <w:sz w:val="21"/>
                <w:szCs w:val="21"/>
                <w:lang w:val="zh-CN" w:eastAsia="zh-CN" w:bidi="zh-CN"/>
              </w:rPr>
              <w:t>投放底栖动物</w:t>
            </w:r>
            <w:r>
              <w:rPr>
                <w:rFonts w:hint="eastAsia" w:ascii="Times New Roman" w:hAnsi="Times New Roman" w:eastAsia="宋体" w:cs="Times New Roman"/>
                <w:spacing w:val="0"/>
                <w:w w:val="100"/>
                <w:position w:val="0"/>
                <w:sz w:val="21"/>
                <w:szCs w:val="21"/>
                <w:lang w:val="zh-CN" w:eastAsia="zh-CN" w:bidi="zh-CN"/>
              </w:rPr>
              <w:t>。</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④生态保护宣传培训，设置警示宣传牌</w:t>
            </w:r>
            <w:r>
              <w:rPr>
                <w:rFonts w:hint="eastAsia" w:ascii="Times New Roman" w:hAnsi="Times New Roman" w:eastAsia="宋体" w:cs="Times New Roman"/>
                <w:spacing w:val="0"/>
                <w:w w:val="100"/>
                <w:position w:val="0"/>
                <w:sz w:val="21"/>
                <w:szCs w:val="21"/>
                <w:lang w:val="zh-CN" w:eastAsia="zh-CN" w:bidi="zh-CN"/>
              </w:rPr>
              <w:t>。</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left"/>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spacing w:val="0"/>
                <w:w w:val="100"/>
                <w:position w:val="0"/>
                <w:sz w:val="21"/>
                <w:szCs w:val="21"/>
                <w:lang w:val="zh-CN" w:eastAsia="zh-CN" w:bidi="zh-CN"/>
              </w:rPr>
              <w:t>⑤施工人员管理，严禁施工人员猎捕蛙类、蛇类、兽类、鸟类等野生动物</w:t>
            </w:r>
            <w:r>
              <w:rPr>
                <w:rFonts w:hint="eastAsia" w:ascii="Times New Roman" w:hAnsi="Times New Roman" w:eastAsia="宋体" w:cs="Times New Roman"/>
                <w:spacing w:val="0"/>
                <w:w w:val="100"/>
                <w:position w:val="0"/>
                <w:sz w:val="21"/>
                <w:szCs w:val="21"/>
                <w:lang w:val="zh-CN" w:eastAsia="zh-CN" w:bidi="zh-CN"/>
              </w:rPr>
              <w:t>。</w:t>
            </w:r>
          </w:p>
        </w:tc>
        <w:tc>
          <w:tcPr>
            <w:tcW w:w="1955" w:type="pct"/>
            <w:vAlign w:val="center"/>
          </w:tcPr>
          <w:p>
            <w:pPr>
              <w:pStyle w:val="34"/>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（1）在坡面种植适宜的植物，待固坡植物生长后，将护坡砖覆盖，即能达到固坡防冲的目的，又能绿化岸坡，使岸坡保持原来的植被形态。</w:t>
            </w:r>
          </w:p>
          <w:p>
            <w:pPr>
              <w:pStyle w:val="34"/>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工程施工结束后，对临时占地进行植被恢复。工程临时占用的植被多为灌草丛，在“适地适草”的原则下，草种应选择当地的优良土著物种，保证绿化栽植的成活率。把剥离的表层熟土回填至周围的植被恢复区内，用作绿化带的覆土改造。</w:t>
            </w:r>
          </w:p>
        </w:tc>
        <w:tc>
          <w:tcPr>
            <w:tcW w:w="809" w:type="pct"/>
            <w:vAlign w:val="center"/>
          </w:tcPr>
          <w:p>
            <w:pPr>
              <w:pStyle w:val="34"/>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执行效果良好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280" w:type="pct"/>
            <w:vMerge w:val="continue"/>
            <w:tcBorders>
              <w:top w:val="nil"/>
            </w:tcBorders>
            <w:vAlign w:val="center"/>
          </w:tcPr>
          <w:p>
            <w:pPr>
              <w:jc w:val="center"/>
              <w:rPr>
                <w:rFonts w:hint="default" w:ascii="Times New Roman" w:hAnsi="Times New Roman" w:eastAsia="宋体" w:cs="Times New Roman"/>
                <w:sz w:val="21"/>
                <w:szCs w:val="21"/>
              </w:rPr>
            </w:pPr>
          </w:p>
        </w:tc>
        <w:tc>
          <w:tcPr>
            <w:tcW w:w="65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污染影响</w:t>
            </w:r>
          </w:p>
        </w:tc>
        <w:tc>
          <w:tcPr>
            <w:tcW w:w="129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项目工程废水及基坑排水排放执行《城市污水再生利用  城市杂用水水质》（GB/T18920-2002）中建筑施工杂用水水质标准，生活污水排放执行《农田灌溉水质标准》（GB5084-2021）旱地作物标准。</w:t>
            </w:r>
          </w:p>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en-US" w:eastAsia="zh-CN"/>
              </w:rPr>
              <w:t>项目施工期废气排放执行《大气污染物综合排放标准》（GB16297-1996）表2中无组织排放监控浓度限值</w:t>
            </w:r>
            <w:r>
              <w:rPr>
                <w:rFonts w:hint="default" w:ascii="Times New Roman" w:hAnsi="Times New Roman" w:eastAsia="宋体" w:cs="Times New Roman"/>
                <w:sz w:val="21"/>
                <w:szCs w:val="21"/>
              </w:rPr>
              <w:t>。</w:t>
            </w:r>
          </w:p>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kern w:val="2"/>
                <w:sz w:val="21"/>
                <w:szCs w:val="21"/>
                <w:lang w:val="en-US" w:eastAsia="zh-CN" w:bidi="ar-SA"/>
              </w:rPr>
              <w:t>项目施工期噪声排放执行《建筑施工场界环境噪声排放标准》（GB12523-2011）</w:t>
            </w:r>
            <w:r>
              <w:rPr>
                <w:rFonts w:hint="default" w:ascii="Times New Roman" w:hAnsi="Times New Roman" w:eastAsia="宋体" w:cs="Times New Roman"/>
                <w:sz w:val="21"/>
                <w:szCs w:val="21"/>
              </w:rPr>
              <w:t>。</w:t>
            </w:r>
          </w:p>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r>
              <w:rPr>
                <w:rFonts w:hint="default" w:ascii="Times New Roman" w:hAnsi="Times New Roman" w:eastAsia="宋体" w:cs="Times New Roman"/>
                <w:kern w:val="2"/>
                <w:sz w:val="21"/>
                <w:szCs w:val="21"/>
                <w:lang w:val="en-US" w:eastAsia="zh-CN" w:bidi="ar-SA"/>
              </w:rPr>
              <w:t>项目一般固废处理处置执行《一般工业固体废物贮存和填埋污染控制标准》(GB18599-2020)有关规定；危险固体废物须委托有相应资质的单位按照国家有关规定妥善处理处置，危险废物暂存设施需符合《危险废物贮存污染控制标准》（GB18597-2001）及2013年修改单、《中华人民共和国固体废物环境防治法》（2020年04月30日）要求</w:t>
            </w:r>
            <w:r>
              <w:rPr>
                <w:rFonts w:hint="default" w:ascii="Times New Roman" w:hAnsi="Times New Roman" w:eastAsia="宋体" w:cs="Times New Roman"/>
                <w:sz w:val="21"/>
                <w:szCs w:val="21"/>
              </w:rPr>
              <w:t>。</w:t>
            </w:r>
          </w:p>
        </w:tc>
        <w:tc>
          <w:tcPr>
            <w:tcW w:w="1955" w:type="pct"/>
            <w:vAlign w:val="center"/>
          </w:tcPr>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pacing w:val="0"/>
                <w:w w:val="100"/>
                <w:position w:val="0"/>
                <w:sz w:val="21"/>
                <w:szCs w:val="21"/>
                <w:lang w:val="zh-CN" w:eastAsia="zh-CN" w:bidi="zh-CN"/>
              </w:rPr>
              <w:t>生活污水</w:t>
            </w:r>
            <w:r>
              <w:rPr>
                <w:rFonts w:hint="eastAsia" w:ascii="Times New Roman" w:hAnsi="Times New Roman" w:eastAsia="宋体" w:cs="Times New Roman"/>
                <w:spacing w:val="0"/>
                <w:w w:val="100"/>
                <w:position w:val="0"/>
                <w:sz w:val="21"/>
                <w:szCs w:val="21"/>
                <w:lang w:val="zh-CN" w:eastAsia="zh-CN" w:bidi="zh-CN"/>
              </w:rPr>
              <w:t>依托周边农户化粪池预处理，用于周边农田施肥；</w:t>
            </w:r>
            <w:r>
              <w:rPr>
                <w:rFonts w:hint="default" w:ascii="Times New Roman" w:hAnsi="Times New Roman" w:eastAsia="宋体" w:cs="Times New Roman"/>
                <w:spacing w:val="0"/>
                <w:w w:val="100"/>
                <w:position w:val="0"/>
                <w:sz w:val="21"/>
                <w:szCs w:val="21"/>
                <w:lang w:val="zh-CN" w:eastAsia="zh-CN" w:bidi="zh-CN"/>
              </w:rPr>
              <w:t>机械维修、冲洗废水建设油水分离器，基坑废水中和沉淀处理达标后，回用于施工场地、道路洒水抑尘和施工生产</w:t>
            </w:r>
            <w:r>
              <w:rPr>
                <w:rFonts w:hint="eastAsia" w:ascii="Times New Roman" w:hAnsi="Times New Roman" w:eastAsia="宋体" w:cs="Times New Roman"/>
                <w:spacing w:val="0"/>
                <w:w w:val="100"/>
                <w:position w:val="0"/>
                <w:sz w:val="21"/>
                <w:szCs w:val="21"/>
                <w:lang w:val="zh-CN" w:eastAsia="zh-CN" w:bidi="zh-CN"/>
              </w:rPr>
              <w:t>；</w:t>
            </w:r>
            <w:r>
              <w:rPr>
                <w:rFonts w:hint="eastAsia" w:ascii="Times New Roman" w:hAnsi="Times New Roman" w:eastAsia="宋体" w:cs="Times New Roman"/>
                <w:sz w:val="21"/>
                <w:szCs w:val="21"/>
                <w:lang w:val="en-US" w:eastAsia="zh-CN"/>
              </w:rPr>
              <w:t>施工期废水不外排。</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建设单位将防治扬尘污染费用列入工程造价，工程项目开工前，需安装视频监控设施、监管人员到位及备案扬尘污染防治方案。</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施工场地采取“围、盖、洒、洗”等措施，严禁敞开式作业；对施工场地区域周围设置连续、密闭的硬质围挡， 高度不得低于1.8m；施工现场出入口、施工临时道路、施工生产生活区采取硬化处理措施；施工场地出入口应当设置车辆清洗专用场地，配备车辆冲洗设施。</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施工现场土方开挖后应尽快回填，不能及时回填的裸露场地，应采取洒水、覆盖等防尘措施；土料堆积过程中，堆积边坡角度不宜过大，弃土及时夯实。</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施工现场建筑材料实行集中、分类堆放。采取覆盖等防尘措施，不得露天堆放；施工工地围挡外禁止堆放施工材料、建筑垃圾和工程渣土。</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施工现场采取洒水降尘措施，每个施工区配备1台洒水设备，洒水频次以施工现场无明显扬尘为准，冬春季晴天一般洒水次数在4～6次，夏季一般洒水8～10次。</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eastAsia" w:ascii="Times New Roman" w:hAnsi="Times New Roman"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建筑物拆除作业实行湿法作业，缩短起尘操作时间。建筑物拆除后应当及时清运，不能及时清运的，应当采取有效覆盖措施。</w:t>
            </w:r>
          </w:p>
          <w:p>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right="0" w:firstLine="0" w:firstLineChars="0"/>
              <w:jc w:val="center"/>
              <w:textAlignment w:val="auto"/>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本工程不新建大型混凝土搅拌站，小型混凝土搅拌场所和砼预制件场应避开环境敏感区，远离居民聚居，并采用封闭、洒水、遮盖等降尘措施。</w:t>
            </w:r>
          </w:p>
          <w:p>
            <w:pPr>
              <w:pStyle w:val="34"/>
              <w:jc w:val="center"/>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加强“三车”管理，土方运输车、混凝土搅拌车、物料运输车辆上路前必须进行车身、轮胎冲洗，物料遮盖，确保无抛撒滴漏。</w:t>
            </w:r>
          </w:p>
          <w:p>
            <w:pPr>
              <w:pStyle w:val="34"/>
              <w:jc w:val="center"/>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施工区远离敏感点设置，合理安排施工时间，选用低噪设备，距离较近的敏感点设置声屏障，车辆限速禁鸣，设置警示牌限速牌。</w:t>
            </w:r>
          </w:p>
          <w:p>
            <w:pPr>
              <w:pStyle w:val="34"/>
              <w:jc w:val="center"/>
              <w:rPr>
                <w:rFonts w:hint="default" w:ascii="Times New Roman" w:hAnsi="Times New Roman" w:eastAsia="宋体" w:cs="Times New Roman"/>
                <w:spacing w:val="0"/>
                <w:w w:val="100"/>
                <w:position w:val="0"/>
                <w:sz w:val="21"/>
                <w:szCs w:val="21"/>
                <w:lang w:val="zh-CN" w:eastAsia="zh-CN" w:bidi="zh-CN"/>
              </w:rPr>
            </w:pPr>
            <w:r>
              <w:rPr>
                <w:rFonts w:hint="default" w:ascii="Times New Roman" w:hAnsi="Times New Roman" w:eastAsia="宋体" w:cs="Times New Roman"/>
                <w:spacing w:val="0"/>
                <w:w w:val="100"/>
                <w:position w:val="0"/>
                <w:sz w:val="21"/>
                <w:szCs w:val="21"/>
                <w:lang w:val="zh-CN" w:eastAsia="zh-CN" w:bidi="zh-CN"/>
              </w:rPr>
              <w:t>弃土运至相应施工区的弃土区，弃土堆置期间进行定期洒水，防止风吹扬尘</w:t>
            </w:r>
            <w:r>
              <w:rPr>
                <w:rFonts w:hint="eastAsia" w:ascii="Times New Roman" w:hAnsi="Times New Roman" w:eastAsia="宋体" w:cs="Times New Roman"/>
                <w:spacing w:val="0"/>
                <w:w w:val="100"/>
                <w:position w:val="0"/>
                <w:sz w:val="21"/>
                <w:szCs w:val="21"/>
                <w:lang w:val="zh-CN" w:eastAsia="zh-CN" w:bidi="zh-CN"/>
              </w:rPr>
              <w:t>。</w:t>
            </w:r>
            <w:r>
              <w:rPr>
                <w:rFonts w:hint="default" w:ascii="Times New Roman" w:hAnsi="Times New Roman" w:eastAsia="宋体" w:cs="Times New Roman"/>
                <w:spacing w:val="0"/>
                <w:w w:val="100"/>
                <w:position w:val="0"/>
                <w:sz w:val="21"/>
                <w:szCs w:val="21"/>
                <w:lang w:val="zh-CN" w:eastAsia="zh-CN" w:bidi="zh-CN"/>
              </w:rPr>
              <w:t>堆放过程中要注意控制堆放高度，并采取设立挡栏等措施防止其被冲刷流失。建筑垃圾分类堆放，能回收利用的尽量回收利用。一部分通过在整治河道沿岸坑塘固基填埋进行处置，一部分用于施工道路垫层填筑，剩余少量工程不能再利用的建筑垃圾，按产生地由市容行政管理部门指定地点进行堆放。</w:t>
            </w:r>
            <w:r>
              <w:rPr>
                <w:rFonts w:hint="eastAsia" w:ascii="Times New Roman" w:hAnsi="Times New Roman" w:eastAsia="宋体" w:cs="Times New Roman"/>
                <w:spacing w:val="0"/>
                <w:w w:val="100"/>
                <w:position w:val="0"/>
                <w:sz w:val="21"/>
                <w:szCs w:val="21"/>
                <w:lang w:val="zh-CN" w:eastAsia="zh-CN" w:bidi="zh-CN"/>
              </w:rPr>
              <w:t>生活垃圾</w:t>
            </w:r>
            <w:r>
              <w:rPr>
                <w:rFonts w:hint="default" w:ascii="Times New Roman" w:hAnsi="Times New Roman" w:eastAsia="宋体" w:cs="Times New Roman"/>
                <w:spacing w:val="0"/>
                <w:w w:val="100"/>
                <w:position w:val="0"/>
                <w:sz w:val="21"/>
                <w:szCs w:val="21"/>
                <w:lang w:val="zh-CN" w:eastAsia="zh-CN" w:bidi="zh-CN"/>
              </w:rPr>
              <w:t>收集后委托环卫部门定期清运</w:t>
            </w:r>
            <w:r>
              <w:rPr>
                <w:rFonts w:hint="eastAsia" w:ascii="Times New Roman" w:hAnsi="Times New Roman" w:eastAsia="宋体" w:cs="Times New Roman"/>
                <w:spacing w:val="0"/>
                <w:w w:val="100"/>
                <w:position w:val="0"/>
                <w:sz w:val="21"/>
                <w:szCs w:val="21"/>
                <w:lang w:val="zh-CN" w:eastAsia="zh-CN" w:bidi="zh-CN"/>
              </w:rPr>
              <w:t>。危险废物</w:t>
            </w:r>
            <w:r>
              <w:rPr>
                <w:rFonts w:hint="default" w:ascii="Times New Roman" w:hAnsi="Times New Roman" w:eastAsia="宋体" w:cs="Times New Roman"/>
                <w:spacing w:val="0"/>
                <w:w w:val="100"/>
                <w:position w:val="0"/>
                <w:sz w:val="21"/>
                <w:szCs w:val="21"/>
                <w:lang w:val="zh-CN" w:eastAsia="zh-CN" w:bidi="zh-CN"/>
              </w:rPr>
              <w:t>由各施工区用专用危险废物储存容器集中收集，并交由有危险废物处置资质的专门机构进行安全处置。</w:t>
            </w:r>
          </w:p>
        </w:tc>
        <w:tc>
          <w:tcPr>
            <w:tcW w:w="809"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执行效果良好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280" w:type="pct"/>
            <w:vMerge w:val="continue"/>
            <w:tcBorders>
              <w:top w:val="nil"/>
            </w:tcBorders>
            <w:vAlign w:val="center"/>
          </w:tcPr>
          <w:p>
            <w:pPr>
              <w:jc w:val="center"/>
              <w:rPr>
                <w:rFonts w:hint="default" w:ascii="Times New Roman" w:hAnsi="Times New Roman" w:eastAsia="宋体" w:cs="Times New Roman"/>
                <w:sz w:val="21"/>
                <w:szCs w:val="21"/>
              </w:rPr>
            </w:pPr>
          </w:p>
        </w:tc>
        <w:tc>
          <w:tcPr>
            <w:tcW w:w="65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社会影响</w:t>
            </w:r>
          </w:p>
        </w:tc>
        <w:tc>
          <w:tcPr>
            <w:tcW w:w="1297" w:type="pct"/>
            <w:vAlign w:val="center"/>
          </w:tcPr>
          <w:p>
            <w:pPr>
              <w:pStyle w:val="34"/>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55"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项目施工期主要是基础建设，主要污染物是扬尘和噪声影响。本项目通过定期洒水抑尘减少扬尘的产生，合理安排施工时间，避免打扰河道两岸居民休息。</w:t>
            </w:r>
          </w:p>
        </w:tc>
        <w:tc>
          <w:tcPr>
            <w:tcW w:w="809"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环保措施完善，执行效果良好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280" w:type="pct"/>
            <w:vMerge w:val="restart"/>
            <w:vAlign w:val="center"/>
          </w:tcPr>
          <w:p>
            <w:pPr>
              <w:pStyle w:val="34"/>
              <w:jc w:val="center"/>
              <w:rPr>
                <w:rFonts w:hint="default" w:ascii="Times New Roman" w:hAnsi="Times New Roman" w:eastAsia="宋体" w:cs="Times New Roman"/>
                <w:sz w:val="21"/>
                <w:szCs w:val="21"/>
              </w:rPr>
            </w:pPr>
          </w:p>
          <w:p>
            <w:pPr>
              <w:pStyle w:val="34"/>
              <w:jc w:val="center"/>
              <w:rPr>
                <w:rFonts w:hint="default" w:ascii="Times New Roman" w:hAnsi="Times New Roman" w:eastAsia="宋体" w:cs="Times New Roman"/>
                <w:sz w:val="21"/>
                <w:szCs w:val="21"/>
              </w:rPr>
            </w:pPr>
          </w:p>
          <w:p>
            <w:pPr>
              <w:pStyle w:val="34"/>
              <w:jc w:val="center"/>
              <w:rPr>
                <w:rFonts w:hint="default" w:ascii="Times New Roman" w:hAnsi="Times New Roman" w:eastAsia="宋体" w:cs="Times New Roman"/>
                <w:sz w:val="21"/>
                <w:szCs w:val="21"/>
              </w:rPr>
            </w:pPr>
          </w:p>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运行期</w:t>
            </w:r>
          </w:p>
        </w:tc>
        <w:tc>
          <w:tcPr>
            <w:tcW w:w="65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生态影响</w:t>
            </w:r>
          </w:p>
        </w:tc>
        <w:tc>
          <w:tcPr>
            <w:tcW w:w="1297" w:type="pct"/>
            <w:vAlign w:val="center"/>
          </w:tcPr>
          <w:p>
            <w:pPr>
              <w:pStyle w:val="34"/>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55" w:type="pct"/>
            <w:vAlign w:val="center"/>
          </w:tcPr>
          <w:p>
            <w:pPr>
              <w:pStyle w:val="34"/>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809" w:type="pct"/>
            <w:vAlign w:val="center"/>
          </w:tcPr>
          <w:p>
            <w:pPr>
              <w:pStyle w:val="34"/>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280" w:type="pct"/>
            <w:vMerge w:val="continue"/>
            <w:tcBorders>
              <w:top w:val="nil"/>
            </w:tcBorders>
            <w:vAlign w:val="center"/>
          </w:tcPr>
          <w:p>
            <w:pPr>
              <w:jc w:val="center"/>
              <w:rPr>
                <w:rFonts w:hint="default" w:ascii="Times New Roman" w:hAnsi="Times New Roman" w:eastAsia="宋体" w:cs="Times New Roman"/>
                <w:sz w:val="21"/>
                <w:szCs w:val="21"/>
              </w:rPr>
            </w:pPr>
          </w:p>
        </w:tc>
        <w:tc>
          <w:tcPr>
            <w:tcW w:w="65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污染影响</w:t>
            </w:r>
          </w:p>
        </w:tc>
        <w:tc>
          <w:tcPr>
            <w:tcW w:w="1297" w:type="pct"/>
            <w:vAlign w:val="center"/>
          </w:tcPr>
          <w:p>
            <w:pPr>
              <w:pStyle w:val="34"/>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955" w:type="pct"/>
            <w:vAlign w:val="center"/>
          </w:tcPr>
          <w:p>
            <w:pPr>
              <w:pStyle w:val="34"/>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809" w:type="pct"/>
            <w:vAlign w:val="center"/>
          </w:tcPr>
          <w:p>
            <w:pPr>
              <w:pStyle w:val="34"/>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280" w:type="pct"/>
            <w:vMerge w:val="continue"/>
            <w:tcBorders>
              <w:top w:val="nil"/>
            </w:tcBorders>
            <w:vAlign w:val="center"/>
          </w:tcPr>
          <w:p>
            <w:pPr>
              <w:jc w:val="center"/>
              <w:rPr>
                <w:rFonts w:hint="default" w:ascii="Times New Roman" w:hAnsi="Times New Roman" w:eastAsia="宋体" w:cs="Times New Roman"/>
                <w:sz w:val="21"/>
                <w:szCs w:val="21"/>
              </w:rPr>
            </w:pPr>
          </w:p>
        </w:tc>
        <w:tc>
          <w:tcPr>
            <w:tcW w:w="657"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社会影响</w:t>
            </w:r>
          </w:p>
        </w:tc>
        <w:tc>
          <w:tcPr>
            <w:tcW w:w="1297" w:type="pct"/>
            <w:vAlign w:val="center"/>
          </w:tcPr>
          <w:p>
            <w:pPr>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kern w:val="2"/>
                <w:sz w:val="21"/>
                <w:szCs w:val="21"/>
                <w:lang w:val="en-US" w:eastAsia="zh-CN" w:bidi="ar-SA"/>
              </w:rPr>
              <w:t>1、项目竣工后，你单位应当按照国务院环境保护行政主管部门规定的标准和程序，对配套建设的环境保护设施进行验收，编制验收报告报我局并应当依法向社会公开验收报告。我局负责对建设项目环境保护设施设计、施工、验收、投入生产或者对使用情况，以及有关环境影响评价文件确定的其他环境保护措施的落实情况，进行督查检查。</w:t>
            </w:r>
          </w:p>
          <w:p>
            <w:pPr>
              <w:pStyle w:val="34"/>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kern w:val="2"/>
                <w:sz w:val="21"/>
                <w:szCs w:val="21"/>
                <w:lang w:val="en-US" w:eastAsia="zh-CN" w:bidi="ar-SA"/>
              </w:rPr>
              <w:t>项目建成后严格执行排污许可制定。</w:t>
            </w:r>
          </w:p>
        </w:tc>
        <w:tc>
          <w:tcPr>
            <w:tcW w:w="1955" w:type="pct"/>
            <w:vAlign w:val="center"/>
          </w:tcPr>
          <w:p>
            <w:pPr>
              <w:pStyle w:val="34"/>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本次验收</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根据《固定污染源排污许可分类管理名录》（2019年版）：河湖整治未列入《固定污染源排污许可证分类管理名录（2019年版）》，项目不需纳入排污许可管理。</w:t>
            </w:r>
          </w:p>
        </w:tc>
        <w:tc>
          <w:tcPr>
            <w:tcW w:w="809" w:type="pct"/>
            <w:vAlign w:val="center"/>
          </w:tcPr>
          <w:p>
            <w:pPr>
              <w:pStyle w:val="34"/>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9"/>
        <w:tabs>
          <w:tab w:val="left" w:pos="788"/>
        </w:tabs>
        <w:spacing w:before="68"/>
        <w:ind w:right="274"/>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环境影响调查</w:t>
      </w:r>
    </w:p>
    <w:tbl>
      <w:tblPr>
        <w:tblStyle w:val="20"/>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7"/>
        <w:gridCol w:w="1237"/>
        <w:gridCol w:w="66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244" w:type="pct"/>
            <w:vMerge w:val="restart"/>
            <w:vAlign w:val="center"/>
          </w:tcPr>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4"/>
              </w:rPr>
            </w:pPr>
          </w:p>
          <w:p>
            <w:pPr>
              <w:pStyle w:val="34"/>
              <w:spacing w:line="379" w:lineRule="auto"/>
              <w:jc w:val="center"/>
              <w:rPr>
                <w:rFonts w:hint="default" w:ascii="Times New Roman" w:hAnsi="Times New Roman" w:eastAsia="宋体" w:cs="Times New Roman"/>
              </w:rPr>
            </w:pPr>
            <w:r>
              <w:rPr>
                <w:rFonts w:hint="default" w:ascii="Times New Roman" w:hAnsi="Times New Roman" w:eastAsia="宋体" w:cs="Times New Roman"/>
              </w:rPr>
              <w:t>施工期</w:t>
            </w:r>
          </w:p>
        </w:tc>
        <w:tc>
          <w:tcPr>
            <w:tcW w:w="741"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生态影响</w:t>
            </w:r>
          </w:p>
        </w:tc>
        <w:tc>
          <w:tcPr>
            <w:tcW w:w="4014" w:type="pct"/>
            <w:vAlign w:val="center"/>
          </w:tcPr>
          <w:p>
            <w:pPr>
              <w:pStyle w:val="34"/>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施工期对生态影响，主要为对水生生物的影响和土壤植被的影响。但从施工时段及施工工艺上看，影响时间较短。在施工结束后对水生生物的影响随之减弱或消失。因此，本项目施工期对生态环境的影响很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244" w:type="pct"/>
            <w:vMerge w:val="continue"/>
            <w:tcBorders>
              <w:top w:val="nil"/>
            </w:tcBorders>
            <w:vAlign w:val="center"/>
          </w:tcPr>
          <w:p>
            <w:pPr>
              <w:jc w:val="center"/>
              <w:rPr>
                <w:rFonts w:hint="default" w:ascii="Times New Roman" w:hAnsi="Times New Roman" w:eastAsia="宋体" w:cs="Times New Roman"/>
                <w:sz w:val="2"/>
                <w:szCs w:val="2"/>
              </w:rPr>
            </w:pPr>
          </w:p>
        </w:tc>
        <w:tc>
          <w:tcPr>
            <w:tcW w:w="741"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污染影响</w:t>
            </w:r>
          </w:p>
        </w:tc>
        <w:tc>
          <w:tcPr>
            <w:tcW w:w="4014" w:type="pct"/>
            <w:vAlign w:val="center"/>
          </w:tcPr>
          <w:p>
            <w:pPr>
              <w:pStyle w:val="34"/>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ind w:leftChars="0" w:firstLine="480" w:firstLineChars="200"/>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环境空气影响</w:t>
            </w:r>
          </w:p>
          <w:p>
            <w:pPr>
              <w:pStyle w:val="34"/>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开挖、平整、回填土方过程中及施工机械和运输车辆会产生扬尘。本项目为河道施工，所以加强回填土方堆放场的管理，定期喷水、覆盖、及时清运等，车辆运输过程做到适量的装载量、加盖苫布、保持合理的车速等，及时对施工场地恢复地面植被、在施工场地四周设置屏障等措施将大大减少扬尘。鉴于汽车年检制度，</w:t>
            </w:r>
            <w:r>
              <w:rPr>
                <w:rFonts w:hint="eastAsia" w:ascii="Times New Roman" w:hAnsi="Times New Roman" w:eastAsia="宋体" w:cs="Times New Roman"/>
                <w:sz w:val="24"/>
                <w:szCs w:val="24"/>
                <w:lang w:val="en-US" w:eastAsia="zh-CN"/>
              </w:rPr>
              <w:t>故</w:t>
            </w:r>
            <w:r>
              <w:rPr>
                <w:rFonts w:hint="default" w:ascii="Times New Roman" w:hAnsi="Times New Roman" w:eastAsia="宋体" w:cs="Times New Roman"/>
                <w:sz w:val="24"/>
                <w:szCs w:val="24"/>
                <w:lang w:val="en-US" w:eastAsia="zh-CN"/>
              </w:rPr>
              <w:t>进入施工区的车辆尾气均达标排放。车辆为非连续工作状态，污染物排放量相对较少，通过大气的扩散，对环境影响较小。</w:t>
            </w:r>
          </w:p>
          <w:p>
            <w:pPr>
              <w:pStyle w:val="34"/>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地表水环境影响</w:t>
            </w:r>
          </w:p>
          <w:p>
            <w:pPr>
              <w:keepNext w:val="0"/>
              <w:keepLines w:val="0"/>
              <w:pageBreakBefore w:val="0"/>
              <w:widowControl w:val="0"/>
              <w:kinsoku/>
              <w:wordWrap/>
              <w:overflowPunct/>
              <w:topLinePunct w:val="0"/>
              <w:bidi w:val="0"/>
              <w:adjustRightInd/>
              <w:snapToGrid/>
              <w:spacing w:beforeAutospacing="0" w:afterAutospacing="0" w:line="360" w:lineRule="auto"/>
              <w:ind w:leftChars="0" w:firstLine="480" w:firstLineChars="200"/>
              <w:textAlignment w:val="auto"/>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pPr>
            <w:r>
              <w:rPr>
                <w:rFonts w:hint="default" w:ascii="Times New Roman" w:hAnsi="Times New Roman" w:eastAsia="宋体" w:cs="Times New Roman"/>
                <w:b w:val="0"/>
                <w:bCs w:val="0"/>
                <w:spacing w:val="0"/>
                <w:w w:val="100"/>
                <w:position w:val="0"/>
                <w:sz w:val="24"/>
                <w:szCs w:val="24"/>
                <w:lang w:val="en-US" w:eastAsia="zh-CN"/>
              </w:rPr>
              <w:t>项目产生的废水主要为机械维修、冲洗废水。</w:t>
            </w:r>
            <w:r>
              <w:rPr>
                <w:rFonts w:hint="default" w:ascii="Times New Roman" w:hAnsi="Times New Roman" w:eastAsia="宋体" w:cs="Times New Roman"/>
                <w:spacing w:val="0"/>
                <w:position w:val="0"/>
                <w:sz w:val="24"/>
                <w:szCs w:val="24"/>
              </w:rPr>
              <w:t>本工程施工车辆维修保养依靠乡镇维修点进行，工区不设机械修配场，仅设机械停放场，会产生机械车辆冲洗废水。该类废水排放方式为间歇排放。机械车辆冲洗水量类比取为0.3m</w:t>
            </w:r>
            <w:r>
              <w:rPr>
                <w:rFonts w:hint="default" w:ascii="Times New Roman" w:hAnsi="Times New Roman" w:eastAsia="宋体" w:cs="Times New Roman"/>
                <w:spacing w:val="0"/>
                <w:position w:val="0"/>
                <w:sz w:val="24"/>
                <w:szCs w:val="24"/>
                <w:vertAlign w:val="superscript"/>
              </w:rPr>
              <w:t>3</w:t>
            </w:r>
            <w:r>
              <w:rPr>
                <w:rFonts w:hint="default" w:ascii="Times New Roman" w:hAnsi="Times New Roman" w:eastAsia="宋体" w:cs="Times New Roman"/>
                <w:spacing w:val="0"/>
                <w:position w:val="0"/>
                <w:sz w:val="24"/>
                <w:szCs w:val="24"/>
              </w:rPr>
              <w:t>/d•台，单个停放场日最大冲洗车辆按16台设计，则每个停放场冲洗废水产生量约为4.8m</w:t>
            </w:r>
            <w:r>
              <w:rPr>
                <w:rFonts w:hint="default" w:ascii="Times New Roman" w:hAnsi="Times New Roman" w:eastAsia="宋体" w:cs="Times New Roman"/>
                <w:spacing w:val="0"/>
                <w:position w:val="0"/>
                <w:sz w:val="24"/>
                <w:szCs w:val="24"/>
                <w:vertAlign w:val="superscript"/>
              </w:rPr>
              <w:t>3</w:t>
            </w:r>
            <w:r>
              <w:rPr>
                <w:rFonts w:hint="default" w:ascii="Times New Roman" w:hAnsi="Times New Roman" w:eastAsia="宋体" w:cs="Times New Roman"/>
                <w:spacing w:val="0"/>
                <w:position w:val="0"/>
                <w:sz w:val="24"/>
                <w:szCs w:val="24"/>
              </w:rPr>
              <w:t>/d，</w:t>
            </w:r>
            <w:r>
              <w:rPr>
                <w:rFonts w:hint="default" w:ascii="Times New Roman" w:hAnsi="Times New Roman" w:eastAsia="宋体" w:cs="Times New Roman"/>
                <w:spacing w:val="0"/>
                <w:position w:val="0"/>
                <w:sz w:val="24"/>
                <w:szCs w:val="24"/>
                <w:lang w:val="en-US" w:eastAsia="zh-CN"/>
              </w:rPr>
              <w:t>因该类用水只是对车</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辆扬尘的抑制，故主要污染物为悬浮物，经沉淀处理后可循环使用，</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多余部分可作为施工场地洒水抑尘用水，不排放。</w:t>
            </w:r>
            <w:r>
              <w:rPr>
                <w:rFonts w:hint="default" w:ascii="Times New Roman" w:hAnsi="Times New Roman" w:eastAsia="宋体" w:cs="Times New Roman"/>
                <w:color w:val="000000" w:themeColor="text1"/>
                <w:spacing w:val="0"/>
                <w:w w:val="100"/>
                <w:position w:val="0"/>
                <w:sz w:val="24"/>
                <w:szCs w:val="24"/>
                <w:lang w:val="en-US" w:eastAsia="zh-CN"/>
                <w14:textFill>
                  <w14:solidFill>
                    <w14:schemeClr w14:val="tx1"/>
                  </w14:solidFill>
                </w14:textFill>
              </w:rPr>
              <w:t>本项目不设置施工机械</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保养</w:t>
            </w:r>
            <w:r>
              <w:rPr>
                <w:rFonts w:hint="default" w:ascii="Times New Roman" w:hAnsi="Times New Roman" w:eastAsia="宋体" w:cs="Times New Roman"/>
                <w:color w:val="000000" w:themeColor="text1"/>
                <w:spacing w:val="0"/>
                <w:positio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只会因突发情况更换一般汽车零部件，因此不会产生或很少产生含油废水。</w:t>
            </w:r>
          </w:p>
          <w:p>
            <w:pPr>
              <w:pStyle w:val="34"/>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ind w:leftChars="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地下水环境影响</w:t>
            </w:r>
          </w:p>
          <w:p>
            <w:pPr>
              <w:pStyle w:val="9"/>
              <w:keepNext w:val="0"/>
              <w:keepLines w:val="0"/>
              <w:pageBreakBefore w:val="0"/>
              <w:widowControl w:val="0"/>
              <w:kinsoku/>
              <w:wordWrap/>
              <w:overflowPunct/>
              <w:topLinePunct w:val="0"/>
              <w:autoSpaceDE w:val="0"/>
              <w:autoSpaceDN w:val="0"/>
              <w:bidi w:val="0"/>
              <w:adjustRightInd/>
              <w:snapToGrid/>
              <w:spacing w:beforeAutospacing="0" w:after="0" w:afterAutospacing="0" w:line="360" w:lineRule="auto"/>
              <w:ind w:left="0" w:leftChars="0" w:right="0" w:firstLine="480" w:firstLineChars="200"/>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w:t>
            </w:r>
            <w:r>
              <w:rPr>
                <w:rFonts w:hint="default" w:ascii="Times New Roman" w:hAnsi="Times New Roman" w:eastAsia="宋体" w:cs="Times New Roman"/>
                <w:color w:val="000000" w:themeColor="text1"/>
                <w:spacing w:val="0"/>
                <w:w w:val="100"/>
                <w:position w:val="0"/>
                <w:sz w:val="24"/>
                <w:szCs w:val="24"/>
                <w14:textFill>
                  <w14:solidFill>
                    <w14:schemeClr w14:val="tx1"/>
                  </w14:solidFill>
                </w14:textFill>
              </w:rPr>
              <w:t>施工生产废水及生活污水不随意排</w:t>
            </w:r>
            <w:r>
              <w:rPr>
                <w:rFonts w:hint="default" w:ascii="Times New Roman" w:hAnsi="Times New Roman" w:eastAsia="宋体" w:cs="Times New Roman"/>
                <w:spacing w:val="0"/>
                <w:w w:val="100"/>
                <w:position w:val="0"/>
                <w:sz w:val="24"/>
                <w:szCs w:val="24"/>
              </w:rPr>
              <w:t>放，加强污废水处理设施的防渗，防止施工机械的跑、冒、滴、漏</w:t>
            </w:r>
            <w:r>
              <w:rPr>
                <w:rFonts w:hint="default" w:ascii="Times New Roman" w:hAnsi="Times New Roman" w:eastAsia="宋体" w:cs="Times New Roman"/>
                <w:spacing w:val="0"/>
                <w:w w:val="100"/>
                <w:position w:val="0"/>
                <w:sz w:val="24"/>
                <w:szCs w:val="24"/>
                <w:lang w:val="en-US" w:eastAsia="zh-CN"/>
              </w:rPr>
              <w:t>的管理下</w:t>
            </w:r>
            <w:r>
              <w:rPr>
                <w:rFonts w:hint="default" w:ascii="Times New Roman" w:hAnsi="Times New Roman" w:eastAsia="宋体" w:cs="Times New Roman"/>
                <w:spacing w:val="0"/>
                <w:w w:val="100"/>
                <w:position w:val="0"/>
                <w:sz w:val="24"/>
                <w:szCs w:val="24"/>
              </w:rPr>
              <w:t>，施工活动对地下水水质</w:t>
            </w:r>
            <w:r>
              <w:rPr>
                <w:rFonts w:hint="default" w:ascii="Times New Roman" w:hAnsi="Times New Roman" w:eastAsia="宋体" w:cs="Times New Roman"/>
                <w:spacing w:val="0"/>
                <w:w w:val="100"/>
                <w:position w:val="0"/>
                <w:sz w:val="24"/>
                <w:szCs w:val="24"/>
                <w:lang w:val="en-US" w:eastAsia="zh-CN"/>
              </w:rPr>
              <w:t>不会</w:t>
            </w:r>
            <w:r>
              <w:rPr>
                <w:rFonts w:hint="default" w:ascii="Times New Roman" w:hAnsi="Times New Roman" w:eastAsia="宋体" w:cs="Times New Roman"/>
                <w:spacing w:val="0"/>
                <w:w w:val="100"/>
                <w:position w:val="0"/>
                <w:sz w:val="24"/>
                <w:szCs w:val="24"/>
              </w:rPr>
              <w:t>产生污染。取土区取土深度达到含水层，应停止取土，并在出露处覆盖粘土进行封闭， 防止外界环境直接影响地下水。</w:t>
            </w:r>
          </w:p>
          <w:p>
            <w:pPr>
              <w:pStyle w:val="25"/>
              <w:keepNext w:val="0"/>
              <w:keepLines w:val="0"/>
              <w:pageBreakBefore w:val="0"/>
              <w:widowControl w:val="0"/>
              <w:numPr>
                <w:ilvl w:val="0"/>
                <w:numId w:val="0"/>
              </w:numPr>
              <w:kinsoku/>
              <w:wordWrap/>
              <w:overflowPunct/>
              <w:topLinePunct w:val="0"/>
              <w:bidi w:val="0"/>
              <w:adjustRightInd/>
              <w:snapToGrid/>
              <w:spacing w:before="0" w:beforeAutospacing="0" w:after="0" w:afterAutospacing="0" w:line="360" w:lineRule="auto"/>
              <w:ind w:leftChars="0" w:firstLine="480" w:firstLineChars="200"/>
              <w:textAlignment w:val="auto"/>
              <w:rPr>
                <w:rFonts w:hint="default" w:ascii="Times New Roman" w:hAnsi="Times New Roman" w:eastAsia="宋体" w:cs="Times New Roman"/>
                <w:color w:val="auto"/>
                <w:spacing w:val="0"/>
                <w:w w:val="100"/>
                <w:kern w:val="2"/>
                <w:position w:val="0"/>
                <w:sz w:val="24"/>
                <w:szCs w:val="24"/>
                <w:lang w:val="en-US" w:eastAsia="zh-CN" w:bidi="ar-SA"/>
              </w:rPr>
            </w:pPr>
            <w:r>
              <w:rPr>
                <w:rFonts w:hint="eastAsia" w:ascii="Times New Roman" w:hAnsi="Times New Roman" w:eastAsia="宋体" w:cs="Times New Roman"/>
                <w:color w:val="auto"/>
                <w:spacing w:val="0"/>
                <w:w w:val="100"/>
                <w:kern w:val="2"/>
                <w:position w:val="0"/>
                <w:sz w:val="24"/>
                <w:szCs w:val="24"/>
                <w:lang w:val="en-US" w:eastAsia="zh-CN" w:bidi="ar-SA"/>
              </w:rPr>
              <w:t>4、</w:t>
            </w:r>
            <w:r>
              <w:rPr>
                <w:rFonts w:hint="default" w:ascii="Times New Roman" w:hAnsi="Times New Roman" w:eastAsia="宋体" w:cs="Times New Roman"/>
                <w:color w:val="auto"/>
                <w:spacing w:val="0"/>
                <w:w w:val="100"/>
                <w:kern w:val="2"/>
                <w:position w:val="0"/>
                <w:sz w:val="24"/>
                <w:szCs w:val="24"/>
                <w:lang w:val="en-US" w:eastAsia="zh-CN" w:bidi="ar-SA"/>
              </w:rPr>
              <w:t>声环境影响</w:t>
            </w:r>
          </w:p>
          <w:p>
            <w:pPr>
              <w:pStyle w:val="34"/>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ind w:leftChars="0" w:firstLine="480" w:firstLineChars="200"/>
              <w:jc w:val="left"/>
              <w:textAlignment w:val="auto"/>
              <w:rPr>
                <w:rFonts w:hint="default" w:ascii="Times New Roman" w:hAnsi="Times New Roman" w:eastAsia="宋体" w:cs="Times New Roman"/>
                <w:spacing w:val="0"/>
                <w:w w:val="100"/>
                <w:kern w:val="2"/>
                <w:position w:val="0"/>
                <w:sz w:val="24"/>
                <w:szCs w:val="24"/>
                <w:lang w:val="en-US" w:eastAsia="zh-CN" w:bidi="ar-SA"/>
              </w:rPr>
            </w:pPr>
            <w:r>
              <w:rPr>
                <w:rFonts w:hint="default" w:ascii="Times New Roman" w:hAnsi="Times New Roman" w:eastAsia="宋体" w:cs="Times New Roman"/>
                <w:spacing w:val="0"/>
                <w:w w:val="100"/>
                <w:kern w:val="2"/>
                <w:position w:val="0"/>
                <w:sz w:val="24"/>
                <w:szCs w:val="24"/>
                <w:lang w:val="en-US" w:eastAsia="zh-CN" w:bidi="ar-SA"/>
              </w:rPr>
              <w:t>施工期噪声源主要来自施工开挖、混凝土浇筑、土石方填筑</w:t>
            </w:r>
          </w:p>
          <w:p>
            <w:pPr>
              <w:pStyle w:val="34"/>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jc w:val="left"/>
              <w:textAlignment w:val="auto"/>
              <w:rPr>
                <w:rFonts w:hint="default" w:ascii="Times New Roman" w:hAnsi="Times New Roman" w:eastAsia="宋体" w:cs="Times New Roman"/>
                <w:spacing w:val="0"/>
                <w:w w:val="100"/>
                <w:kern w:val="2"/>
                <w:position w:val="0"/>
                <w:sz w:val="24"/>
                <w:szCs w:val="24"/>
                <w:lang w:val="en-US" w:eastAsia="zh-CN" w:bidi="ar-SA"/>
              </w:rPr>
            </w:pPr>
            <w:r>
              <w:rPr>
                <w:rFonts w:hint="default" w:ascii="Times New Roman" w:hAnsi="Times New Roman" w:eastAsia="宋体" w:cs="Times New Roman"/>
                <w:spacing w:val="0"/>
                <w:w w:val="100"/>
                <w:kern w:val="2"/>
                <w:position w:val="0"/>
                <w:sz w:val="24"/>
                <w:szCs w:val="24"/>
                <w:lang w:val="en-US" w:eastAsia="zh-CN" w:bidi="ar-SA"/>
              </w:rPr>
              <w:t>等施工活动以及挖掘机、推土机等施工机械运行以及车辆运输等。故应合理选择施工时间，在夜间禁止施工，防止施工噪声对居民生活及休息的影响。同时在必要时采用移动声屏障围挡以减少施工措施的噪声。同时加强施工机械的保养，减少机械故障而产生的噪声。</w:t>
            </w:r>
            <w:r>
              <w:rPr>
                <w:rFonts w:hint="default" w:ascii="Times New Roman" w:hAnsi="Times New Roman" w:cs="Times New Roman" w:eastAsiaTheme="minorEastAsia"/>
                <w:sz w:val="24"/>
                <w:szCs w:val="24"/>
                <w:lang w:val="en-US" w:eastAsia="zh-CN"/>
              </w:rPr>
              <w:t>项目施工期</w:t>
            </w:r>
            <w:r>
              <w:rPr>
                <w:rFonts w:hint="default" w:ascii="Times New Roman" w:hAnsi="Times New Roman" w:eastAsia="宋体" w:cs="Times New Roman"/>
                <w:spacing w:val="0"/>
                <w:w w:val="100"/>
                <w:kern w:val="2"/>
                <w:position w:val="0"/>
                <w:sz w:val="24"/>
                <w:szCs w:val="24"/>
                <w:lang w:val="en-US" w:eastAsia="zh-CN" w:bidi="ar-SA"/>
              </w:rPr>
              <w:t>噪声满足</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建筑施工场界环境噪声排放</w:t>
            </w:r>
            <w:r>
              <w:rPr>
                <w:rFonts w:hint="default" w:ascii="Times New Roman" w:hAnsi="Times New Roman" w:cs="Times New Roman" w:eastAsiaTheme="minorEastAsia"/>
                <w:sz w:val="24"/>
                <w:szCs w:val="24"/>
              </w:rPr>
              <w:t>标准》（GB</w:t>
            </w:r>
            <w:r>
              <w:rPr>
                <w:rFonts w:hint="default" w:ascii="Times New Roman" w:hAnsi="Times New Roman" w:cs="Times New Roman" w:eastAsiaTheme="minorEastAsia"/>
                <w:sz w:val="24"/>
                <w:szCs w:val="24"/>
                <w:lang w:val="en-US" w:eastAsia="zh-CN"/>
              </w:rPr>
              <w:t>12523</w:t>
            </w:r>
            <w:r>
              <w:rPr>
                <w:rFonts w:hint="default" w:ascii="Times New Roman" w:hAnsi="Times New Roman" w:cs="Times New Roman" w:eastAsiaTheme="minorEastAsia"/>
                <w:sz w:val="24"/>
                <w:szCs w:val="24"/>
              </w:rPr>
              <w:t>-20</w:t>
            </w:r>
            <w:r>
              <w:rPr>
                <w:rFonts w:hint="default"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噪声限值。</w:t>
            </w:r>
          </w:p>
          <w:p>
            <w:pPr>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固体废物环境影响</w:t>
            </w:r>
          </w:p>
          <w:p>
            <w:pPr>
              <w:pStyle w:val="34"/>
              <w:keepNext w:val="0"/>
              <w:keepLines w:val="0"/>
              <w:pageBreakBefore w:val="0"/>
              <w:widowControl w:val="0"/>
              <w:numPr>
                <w:ilvl w:val="0"/>
                <w:numId w:val="0"/>
              </w:numPr>
              <w:kinsoku/>
              <w:wordWrap/>
              <w:overflowPunct/>
              <w:topLinePunct w:val="0"/>
              <w:bidi w:val="0"/>
              <w:adjustRightInd/>
              <w:snapToGrid/>
              <w:spacing w:beforeAutospacing="0" w:afterAutospacing="0"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0"/>
                <w:w w:val="100"/>
                <w:position w:val="0"/>
                <w:sz w:val="24"/>
                <w:szCs w:val="24"/>
              </w:rPr>
              <w:t>本工程施工期产生的固体废弃物主要为施工弃土、施工弃土、施工人员生活垃圾</w:t>
            </w:r>
            <w:r>
              <w:rPr>
                <w:rFonts w:hint="default" w:ascii="Times New Roman" w:hAnsi="Times New Roman" w:eastAsia="宋体" w:cs="Times New Roman"/>
                <w:spacing w:val="0"/>
                <w:w w:val="100"/>
                <w:position w:val="0"/>
                <w:sz w:val="24"/>
                <w:szCs w:val="24"/>
                <w:lang w:val="en-US" w:eastAsia="zh-CN"/>
              </w:rPr>
              <w:t>等固体废弃物。</w:t>
            </w:r>
            <w:r>
              <w:rPr>
                <w:rFonts w:hint="default" w:ascii="Times New Roman" w:hAnsi="Times New Roman" w:eastAsia="宋体" w:cs="Times New Roman"/>
                <w:spacing w:val="0"/>
                <w:w w:val="100"/>
                <w:position w:val="0"/>
                <w:sz w:val="24"/>
                <w:szCs w:val="24"/>
              </w:rPr>
              <w:t>施工弃土</w:t>
            </w:r>
            <w:r>
              <w:rPr>
                <w:rFonts w:hint="default" w:ascii="Times New Roman" w:hAnsi="Times New Roman" w:eastAsia="宋体" w:cs="Times New Roman"/>
                <w:spacing w:val="0"/>
                <w:w w:val="100"/>
                <w:position w:val="0"/>
                <w:sz w:val="24"/>
                <w:szCs w:val="24"/>
                <w:lang w:eastAsia="zh-CN"/>
              </w:rPr>
              <w:t>、</w:t>
            </w:r>
            <w:r>
              <w:rPr>
                <w:rFonts w:hint="default" w:ascii="Times New Roman" w:hAnsi="Times New Roman" w:eastAsia="宋体" w:cs="Times New Roman"/>
                <w:spacing w:val="0"/>
                <w:w w:val="100"/>
                <w:position w:val="0"/>
                <w:sz w:val="24"/>
                <w:szCs w:val="24"/>
              </w:rPr>
              <w:t>施工弃土</w:t>
            </w:r>
            <w:r>
              <w:rPr>
                <w:rFonts w:hint="default" w:ascii="Times New Roman" w:hAnsi="Times New Roman" w:eastAsia="宋体" w:cs="Times New Roman"/>
                <w:spacing w:val="0"/>
                <w:w w:val="100"/>
                <w:position w:val="0"/>
                <w:sz w:val="24"/>
                <w:szCs w:val="24"/>
                <w:lang w:val="en-US" w:eastAsia="zh-CN"/>
              </w:rPr>
              <w:t>除本项目利用外，其他均进入国投</w:t>
            </w:r>
            <w:r>
              <w:rPr>
                <w:rFonts w:hint="default" w:ascii="Times New Roman" w:hAnsi="Times New Roman" w:eastAsia="宋体" w:cs="Times New Roman"/>
                <w:spacing w:val="0"/>
                <w:w w:val="100"/>
                <w:position w:val="0"/>
                <w:sz w:val="24"/>
                <w:szCs w:val="24"/>
                <w:lang w:eastAsia="zh-CN"/>
              </w:rPr>
              <w:t>石料场，</w:t>
            </w:r>
            <w:r>
              <w:rPr>
                <w:rFonts w:hint="default" w:ascii="Times New Roman" w:hAnsi="Times New Roman" w:eastAsia="宋体" w:cs="Times New Roman"/>
                <w:spacing w:val="0"/>
                <w:w w:val="100"/>
                <w:position w:val="0"/>
                <w:sz w:val="24"/>
                <w:szCs w:val="24"/>
                <w:lang w:val="en-US" w:eastAsia="zh-CN"/>
              </w:rPr>
              <w:t>生活垃圾由当地环卫部门处理。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trPr>
        <w:tc>
          <w:tcPr>
            <w:tcW w:w="244" w:type="pct"/>
            <w:vMerge w:val="continue"/>
            <w:tcBorders>
              <w:top w:val="nil"/>
            </w:tcBorders>
            <w:vAlign w:val="center"/>
          </w:tcPr>
          <w:p>
            <w:pPr>
              <w:jc w:val="center"/>
              <w:rPr>
                <w:rFonts w:hint="default" w:ascii="Times New Roman" w:hAnsi="Times New Roman" w:eastAsia="宋体" w:cs="Times New Roman"/>
                <w:sz w:val="2"/>
                <w:szCs w:val="2"/>
              </w:rPr>
            </w:pPr>
          </w:p>
        </w:tc>
        <w:tc>
          <w:tcPr>
            <w:tcW w:w="741"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社会影响</w:t>
            </w:r>
          </w:p>
        </w:tc>
        <w:tc>
          <w:tcPr>
            <w:tcW w:w="4014" w:type="pct"/>
            <w:vAlign w:val="center"/>
          </w:tcPr>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z w:val="20"/>
                <w:lang w:val="en-US" w:eastAsia="zh-CN"/>
              </w:rPr>
            </w:pPr>
            <w:r>
              <w:rPr>
                <w:rFonts w:hint="eastAsia" w:ascii="Times New Roman" w:hAnsi="Times New Roman" w:eastAsia="宋体" w:cs="Times New Roman"/>
                <w:sz w:val="24"/>
                <w:szCs w:val="24"/>
              </w:rPr>
              <w:t>根据对周边居民的走访和调查，项目施工期主要是基础建设，主要污染物是扬尘和噪声影响。本项目通过定期洒水抑尘减少扬尘的产生，合理安排施工时间，避免打扰</w:t>
            </w:r>
            <w:r>
              <w:rPr>
                <w:rFonts w:hint="eastAsia" w:ascii="Times New Roman" w:hAnsi="Times New Roman" w:eastAsia="宋体" w:cs="Times New Roman"/>
                <w:sz w:val="24"/>
                <w:szCs w:val="24"/>
                <w:lang w:eastAsia="zh-CN"/>
              </w:rPr>
              <w:t>河道两岸</w:t>
            </w:r>
            <w:r>
              <w:rPr>
                <w:rFonts w:hint="eastAsia" w:ascii="Times New Roman" w:hAnsi="Times New Roman" w:eastAsia="宋体" w:cs="Times New Roman"/>
                <w:sz w:val="24"/>
                <w:szCs w:val="24"/>
              </w:rPr>
              <w:t>居民休息。</w:t>
            </w:r>
            <w:r>
              <w:rPr>
                <w:rFonts w:hint="eastAsia" w:ascii="Times New Roman" w:hAnsi="Times New Roman" w:eastAsia="宋体" w:cs="Times New Roman"/>
                <w:sz w:val="24"/>
                <w:szCs w:val="24"/>
                <w:lang w:eastAsia="zh-CN"/>
              </w:rPr>
              <w:t>沿线</w:t>
            </w:r>
            <w:r>
              <w:rPr>
                <w:rFonts w:hint="eastAsia" w:ascii="Times New Roman" w:hAnsi="Times New Roman" w:eastAsia="宋体" w:cs="Times New Roman"/>
                <w:sz w:val="24"/>
                <w:szCs w:val="24"/>
              </w:rPr>
              <w:t>居民表示受到影响较小，可以接受。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5" w:hRule="atLeast"/>
        </w:trPr>
        <w:tc>
          <w:tcPr>
            <w:tcW w:w="244" w:type="pct"/>
            <w:vMerge w:val="restart"/>
            <w:vAlign w:val="center"/>
          </w:tcPr>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0"/>
              </w:rPr>
            </w:pPr>
          </w:p>
          <w:p>
            <w:pPr>
              <w:pStyle w:val="34"/>
              <w:jc w:val="center"/>
              <w:rPr>
                <w:rFonts w:hint="default" w:ascii="Times New Roman" w:hAnsi="Times New Roman" w:eastAsia="宋体" w:cs="Times New Roman"/>
                <w:sz w:val="24"/>
              </w:rPr>
            </w:pPr>
          </w:p>
          <w:p>
            <w:pPr>
              <w:pStyle w:val="34"/>
              <w:spacing w:line="379" w:lineRule="auto"/>
              <w:jc w:val="center"/>
              <w:rPr>
                <w:rFonts w:hint="default" w:ascii="Times New Roman" w:hAnsi="Times New Roman" w:eastAsia="宋体" w:cs="Times New Roman"/>
              </w:rPr>
            </w:pPr>
            <w:r>
              <w:rPr>
                <w:rFonts w:hint="default" w:ascii="Times New Roman" w:hAnsi="Times New Roman" w:eastAsia="宋体" w:cs="Times New Roman"/>
              </w:rPr>
              <w:t>运行期</w:t>
            </w:r>
          </w:p>
        </w:tc>
        <w:tc>
          <w:tcPr>
            <w:tcW w:w="741"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生态影响</w:t>
            </w:r>
          </w:p>
        </w:tc>
        <w:tc>
          <w:tcPr>
            <w:tcW w:w="4014" w:type="pct"/>
            <w:vAlign w:val="center"/>
          </w:tcPr>
          <w:p>
            <w:pPr>
              <w:pStyle w:val="34"/>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1、对河流演变的影响</w:t>
            </w:r>
          </w:p>
          <w:p>
            <w:pPr>
              <w:pStyle w:val="34"/>
              <w:pageBreakBefore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本项目是以防洪堤防、岸坡、河道疏浚为主，工程建成后，有利于河流稳定，有利于河流水质和生态环境的改善。</w:t>
            </w:r>
          </w:p>
          <w:p>
            <w:pPr>
              <w:pStyle w:val="34"/>
              <w:pageBreakBefore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2、对水生生物的影响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rPr>
              <w:t>本项目只对中溪镇河道两岸无堤防处在</w:t>
            </w:r>
            <w:r>
              <w:rPr>
                <w:rFonts w:hint="default" w:ascii="Times New Roman" w:hAnsi="Times New Roman" w:eastAsia="宋体" w:cs="Times New Roman"/>
                <w:color w:val="000000"/>
                <w:kern w:val="0"/>
                <w:sz w:val="24"/>
                <w:szCs w:val="24"/>
                <w:lang w:val="en-US" w:eastAsia="zh-CN" w:bidi="ar"/>
              </w:rPr>
              <w:t>堤线沿现状岸坎布置，不改变原河道宽度，堤防型式采用生态砌块+生态连锁块</w:t>
            </w:r>
            <w:r>
              <w:rPr>
                <w:rFonts w:hint="default" w:ascii="Times New Roman" w:hAnsi="Times New Roman" w:eastAsia="宋体" w:cs="Times New Roman"/>
                <w:sz w:val="24"/>
                <w:szCs w:val="24"/>
                <w:lang w:val="en-US" w:eastAsia="zh-CN"/>
              </w:rPr>
              <w:t>岸坡施工</w:t>
            </w:r>
            <w:r>
              <w:rPr>
                <w:rFonts w:hint="default" w:ascii="Times New Roman" w:hAnsi="Times New Roman" w:eastAsia="宋体" w:cs="Times New Roman"/>
                <w:color w:val="000000"/>
                <w:kern w:val="0"/>
                <w:sz w:val="24"/>
                <w:szCs w:val="24"/>
                <w:lang w:val="en-US" w:eastAsia="zh-CN" w:bidi="ar"/>
              </w:rPr>
              <w:t>仅对沿线重点村落段、农田段岸坡不稳、易冲易塌段布置防冲固岸防护工程，同时对已有防护工程但工程有根基局部冲刷现象的护岸工程进行格宾石笼护脚加固。施工期根据地形条件，分段设置围堰，且施工期较短，为水生生物保留栖息地，为水生生态的繁殖提供了条件。</w:t>
            </w:r>
          </w:p>
          <w:p>
            <w:pPr>
              <w:pStyle w:val="2"/>
              <w:pageBreakBefore w:val="0"/>
              <w:numPr>
                <w:ilvl w:val="3"/>
                <w:numId w:val="0"/>
              </w:numPr>
              <w:kinsoku/>
              <w:wordWrap/>
              <w:overflowPunct/>
              <w:topLinePunct w:val="0"/>
              <w:autoSpaceDE/>
              <w:autoSpaceDN/>
              <w:bidi w:val="0"/>
              <w:adjustRightInd/>
              <w:snapToGrid/>
              <w:spacing w:before="0" w:beforeLines="0" w:after="0" w:afterLines="0" w:line="360" w:lineRule="auto"/>
              <w:ind w:leftChars="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3、对行洪的影响</w:t>
            </w:r>
          </w:p>
          <w:p>
            <w:pPr>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由于本项目工程堤线、岸坡均按现有河道布置，疏浚更有利于行洪，所以在正常情况下，不影响行洪。</w:t>
            </w:r>
          </w:p>
          <w:p>
            <w:pPr>
              <w:pStyle w:val="34"/>
              <w:pageBreakBefore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4、对水土流失的影响</w:t>
            </w:r>
          </w:p>
          <w:p>
            <w:pPr>
              <w:pStyle w:val="34"/>
              <w:pageBreakBefore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0"/>
              </w:rPr>
            </w:pPr>
            <w:r>
              <w:rPr>
                <w:rFonts w:hint="default" w:ascii="Times New Roman" w:hAnsi="Times New Roman" w:eastAsia="宋体" w:cs="Times New Roman"/>
                <w:sz w:val="24"/>
                <w:szCs w:val="24"/>
                <w:lang w:val="en-US" w:eastAsia="zh-CN"/>
              </w:rPr>
              <w:t>堤防、护岸工程的建设，起到了防风固沙的作用 ，由于此次使用</w:t>
            </w:r>
            <w:r>
              <w:rPr>
                <w:rFonts w:hint="default" w:ascii="Times New Roman" w:hAnsi="Times New Roman" w:eastAsia="宋体" w:cs="Times New Roman"/>
                <w:color w:val="000000"/>
                <w:kern w:val="0"/>
                <w:sz w:val="24"/>
                <w:szCs w:val="24"/>
                <w:lang w:val="en-US" w:eastAsia="zh-CN" w:bidi="ar"/>
              </w:rPr>
              <w:t>生态砌块+生态连锁块采取</w:t>
            </w:r>
            <w:r>
              <w:rPr>
                <w:rFonts w:hint="default" w:ascii="Times New Roman" w:hAnsi="Times New Roman" w:eastAsia="宋体" w:cs="Times New Roman"/>
                <w:color w:val="000000"/>
                <w:spacing w:val="0"/>
                <w:w w:val="100"/>
                <w:position w:val="0"/>
                <w:sz w:val="24"/>
                <w:szCs w:val="24"/>
              </w:rPr>
              <w:t>格宾挡墙</w:t>
            </w:r>
            <w:r>
              <w:rPr>
                <w:rFonts w:hint="default" w:ascii="Times New Roman" w:hAnsi="Times New Roman" w:eastAsia="宋体" w:cs="Times New Roman"/>
                <w:color w:val="000000"/>
                <w:kern w:val="0"/>
                <w:sz w:val="24"/>
                <w:szCs w:val="24"/>
                <w:lang w:val="en-US" w:eastAsia="zh-CN" w:bidi="ar"/>
              </w:rPr>
              <w:t>固脚等措施，有利于护岸的稳定，因此减少了</w:t>
            </w:r>
            <w:r>
              <w:rPr>
                <w:rFonts w:hint="default" w:ascii="Times New Roman" w:hAnsi="Times New Roman" w:eastAsia="宋体" w:cs="Times New Roman"/>
                <w:sz w:val="24"/>
                <w:szCs w:val="24"/>
                <w:lang w:val="en-US" w:eastAsia="zh-CN"/>
              </w:rPr>
              <w:t>水土流失。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6" w:hRule="atLeast"/>
        </w:trPr>
        <w:tc>
          <w:tcPr>
            <w:tcW w:w="244" w:type="pct"/>
            <w:vMerge w:val="continue"/>
            <w:tcBorders>
              <w:top w:val="nil"/>
            </w:tcBorders>
            <w:vAlign w:val="center"/>
          </w:tcPr>
          <w:p>
            <w:pPr>
              <w:jc w:val="center"/>
              <w:rPr>
                <w:rFonts w:hint="default" w:ascii="Times New Roman" w:hAnsi="Times New Roman" w:eastAsia="宋体" w:cs="Times New Roman"/>
                <w:sz w:val="2"/>
                <w:szCs w:val="2"/>
              </w:rPr>
            </w:pPr>
          </w:p>
        </w:tc>
        <w:tc>
          <w:tcPr>
            <w:tcW w:w="741"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污染影响</w:t>
            </w:r>
          </w:p>
        </w:tc>
        <w:tc>
          <w:tcPr>
            <w:tcW w:w="4014" w:type="pct"/>
            <w:vAlign w:val="center"/>
          </w:tcPr>
          <w:p>
            <w:pPr>
              <w:pStyle w:val="34"/>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环境空气影响</w:t>
            </w:r>
          </w:p>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为河道整治项目</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营运期没有废气污染源，</w:t>
            </w:r>
            <w:r>
              <w:rPr>
                <w:rFonts w:hint="default" w:ascii="Times New Roman" w:hAnsi="Times New Roman" w:eastAsia="宋体" w:cs="Times New Roman"/>
                <w:color w:val="auto"/>
                <w:sz w:val="24"/>
                <w:szCs w:val="24"/>
                <w:lang w:val="en-US" w:eastAsia="zh-CN"/>
              </w:rPr>
              <w:t>不会</w:t>
            </w:r>
            <w:r>
              <w:rPr>
                <w:rFonts w:hint="default" w:ascii="Times New Roman" w:hAnsi="Times New Roman" w:eastAsia="宋体" w:cs="Times New Roman"/>
                <w:color w:val="auto"/>
                <w:sz w:val="24"/>
                <w:szCs w:val="24"/>
              </w:rPr>
              <w:t>对周围大气环境</w:t>
            </w:r>
            <w:r>
              <w:rPr>
                <w:rFonts w:hint="default" w:ascii="Times New Roman" w:hAnsi="Times New Roman" w:eastAsia="宋体" w:cs="Times New Roman"/>
                <w:color w:val="auto"/>
                <w:sz w:val="24"/>
                <w:szCs w:val="24"/>
                <w:lang w:val="en-US" w:eastAsia="zh-CN"/>
              </w:rPr>
              <w:t>产生影响</w:t>
            </w:r>
            <w:r>
              <w:rPr>
                <w:rFonts w:hint="default" w:ascii="Times New Roman" w:hAnsi="Times New Roman" w:eastAsia="宋体" w:cs="Times New Roman"/>
                <w:color w:val="auto"/>
                <w:sz w:val="24"/>
                <w:szCs w:val="24"/>
              </w:rPr>
              <w:t>。</w:t>
            </w:r>
          </w:p>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sz w:val="24"/>
                <w:szCs w:val="24"/>
                <w:lang w:val="en-US" w:eastAsia="zh-CN"/>
              </w:rPr>
              <w:t>地表水环境影响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0"/>
                <w:w w:val="100"/>
                <w:kern w:val="0"/>
                <w:position w:val="0"/>
                <w:sz w:val="24"/>
                <w:szCs w:val="24"/>
                <w:lang w:val="en-US" w:eastAsia="zh-CN" w:bidi="ar"/>
              </w:rPr>
            </w:pPr>
            <w:r>
              <w:rPr>
                <w:rFonts w:hint="default" w:ascii="Times New Roman" w:hAnsi="Times New Roman" w:eastAsia="宋体" w:cs="Times New Roman"/>
                <w:spacing w:val="0"/>
                <w:w w:val="100"/>
                <w:kern w:val="0"/>
                <w:position w:val="0"/>
                <w:sz w:val="24"/>
                <w:szCs w:val="24"/>
                <w:lang w:val="en-US" w:eastAsia="zh-CN" w:bidi="ar"/>
              </w:rPr>
              <w:t>运行期工程本身不产生污染物，较工程实施前变化不大，工程建成后不增加河槽蓄水能力和调蓄容量，总体水资源未发生变化，因此对东津河的水环境质量和水环境容量不产生影响。且现有东津河进行疏浚，有利于污染物质的迁移扩散和交换，在一定程度上改善河道的现状水质条件，给水环境带来有利影响。</w:t>
            </w:r>
          </w:p>
          <w:p>
            <w:pPr>
              <w:pStyle w:val="3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pacing w:val="0"/>
                <w:w w:val="100"/>
                <w:kern w:val="0"/>
                <w:position w:val="0"/>
                <w:sz w:val="24"/>
                <w:szCs w:val="24"/>
                <w:lang w:val="en-US" w:eastAsia="zh-CN" w:bidi="ar"/>
              </w:rPr>
            </w:pPr>
            <w:r>
              <w:rPr>
                <w:rFonts w:hint="default" w:ascii="Times New Roman" w:hAnsi="Times New Roman" w:eastAsia="宋体" w:cs="Times New Roman"/>
                <w:spacing w:val="0"/>
                <w:w w:val="100"/>
                <w:kern w:val="0"/>
                <w:position w:val="0"/>
                <w:sz w:val="24"/>
                <w:szCs w:val="24"/>
                <w:lang w:val="en-US" w:eastAsia="zh-CN" w:bidi="ar"/>
              </w:rPr>
              <w:t>3、</w:t>
            </w:r>
            <w:r>
              <w:rPr>
                <w:rFonts w:hint="default" w:ascii="Times New Roman" w:hAnsi="Times New Roman" w:eastAsia="宋体" w:cs="Times New Roman"/>
                <w:sz w:val="24"/>
                <w:szCs w:val="24"/>
                <w:lang w:val="en-US" w:eastAsia="zh-CN"/>
              </w:rPr>
              <w:t>地下水环境影响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pacing w:val="0"/>
                <w:w w:val="100"/>
                <w:kern w:val="0"/>
                <w:position w:val="0"/>
                <w:sz w:val="24"/>
                <w:szCs w:val="24"/>
                <w:lang w:val="en-US" w:eastAsia="zh-CN" w:bidi="ar"/>
              </w:rPr>
              <w:t>工程实施后没有截断地下水补给途径，堤防底部以下部分地下水补给和流动没有改变。工程沿线浅层地下水主要由大气降水和地表水补给的方式不会受到影响，因此工程建设对两岸地下水影响较小。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trPr>
        <w:tc>
          <w:tcPr>
            <w:tcW w:w="244" w:type="pct"/>
            <w:vMerge w:val="continue"/>
            <w:tcBorders>
              <w:top w:val="nil"/>
            </w:tcBorders>
            <w:vAlign w:val="center"/>
          </w:tcPr>
          <w:p>
            <w:pPr>
              <w:jc w:val="center"/>
              <w:rPr>
                <w:rFonts w:hint="default" w:ascii="Times New Roman" w:hAnsi="Times New Roman" w:eastAsia="宋体" w:cs="Times New Roman"/>
                <w:sz w:val="2"/>
                <w:szCs w:val="2"/>
              </w:rPr>
            </w:pPr>
          </w:p>
        </w:tc>
        <w:tc>
          <w:tcPr>
            <w:tcW w:w="741"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社会影响</w:t>
            </w:r>
          </w:p>
        </w:tc>
        <w:tc>
          <w:tcPr>
            <w:tcW w:w="4014" w:type="pct"/>
            <w:vAlign w:val="center"/>
          </w:tcPr>
          <w:p>
            <w:pPr>
              <w:pStyle w:val="34"/>
              <w:jc w:val="center"/>
              <w:rPr>
                <w:rFonts w:hint="eastAsia" w:ascii="Times New Roman" w:hAnsi="Times New Roman" w:eastAsia="宋体" w:cs="Times New Roman"/>
                <w:sz w:val="20"/>
                <w:lang w:val="en-US" w:eastAsia="zh-CN"/>
              </w:rPr>
            </w:pPr>
            <w:r>
              <w:rPr>
                <w:rFonts w:hint="eastAsia" w:ascii="Times New Roman" w:hAnsi="Times New Roman" w:eastAsia="宋体" w:cs="Times New Roman"/>
                <w:sz w:val="24"/>
                <w:szCs w:val="24"/>
              </w:rPr>
              <w:t>本项目对</w:t>
            </w:r>
            <w:r>
              <w:rPr>
                <w:rFonts w:hint="eastAsia" w:ascii="Times New Roman" w:hAnsi="Times New Roman" w:eastAsia="宋体" w:cs="Times New Roman"/>
                <w:sz w:val="24"/>
                <w:szCs w:val="24"/>
                <w:lang w:eastAsia="zh-CN"/>
              </w:rPr>
              <w:t>河道</w:t>
            </w:r>
            <w:r>
              <w:rPr>
                <w:rFonts w:hint="eastAsia" w:ascii="Times New Roman" w:hAnsi="Times New Roman" w:eastAsia="宋体" w:cs="Times New Roman"/>
                <w:sz w:val="24"/>
                <w:szCs w:val="24"/>
              </w:rPr>
              <w:t>沿线居民基本不会产生影响。</w:t>
            </w:r>
          </w:p>
        </w:tc>
      </w:tr>
    </w:tbl>
    <w:p>
      <w:pPr>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9"/>
        <w:tabs>
          <w:tab w:val="left" w:pos="788"/>
        </w:tabs>
        <w:spacing w:before="68"/>
        <w:ind w:right="274"/>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环境质量及污染源监测</w:t>
      </w:r>
    </w:p>
    <w:tbl>
      <w:tblPr>
        <w:tblStyle w:val="20"/>
        <w:tblW w:w="51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96"/>
        <w:gridCol w:w="1868"/>
        <w:gridCol w:w="1875"/>
        <w:gridCol w:w="1870"/>
        <w:gridCol w:w="18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587"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项目</w:t>
            </w:r>
          </w:p>
        </w:tc>
        <w:tc>
          <w:tcPr>
            <w:tcW w:w="1100"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监测时间、频次</w:t>
            </w:r>
          </w:p>
        </w:tc>
        <w:tc>
          <w:tcPr>
            <w:tcW w:w="1104"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监测点位</w:t>
            </w:r>
          </w:p>
        </w:tc>
        <w:tc>
          <w:tcPr>
            <w:tcW w:w="1101"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监测项目</w:t>
            </w:r>
          </w:p>
        </w:tc>
        <w:tc>
          <w:tcPr>
            <w:tcW w:w="1107"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监测结果分析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587" w:type="pct"/>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w:t>
            </w:r>
          </w:p>
        </w:tc>
        <w:tc>
          <w:tcPr>
            <w:tcW w:w="1100" w:type="pct"/>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104" w:type="pct"/>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101" w:type="pct"/>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植被恢复</w:t>
            </w:r>
          </w:p>
        </w:tc>
        <w:tc>
          <w:tcPr>
            <w:tcW w:w="1107" w:type="pct"/>
            <w:vAlign w:val="center"/>
          </w:tcPr>
          <w:p>
            <w:pPr>
              <w:pStyle w:val="34"/>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施工期临时生产、生活设施等已拆除，并进行场地平整生态恢复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0" w:hRule="atLeast"/>
        </w:trPr>
        <w:tc>
          <w:tcPr>
            <w:tcW w:w="587" w:type="pct"/>
            <w:vAlign w:val="center"/>
          </w:tcPr>
          <w:p>
            <w:pPr>
              <w:pStyle w:val="34"/>
              <w:jc w:val="center"/>
              <w:rPr>
                <w:rFonts w:hint="default" w:ascii="Times New Roman" w:hAnsi="Times New Roman" w:eastAsia="宋体" w:cs="Times New Roman"/>
              </w:rPr>
            </w:pPr>
            <w:r>
              <w:rPr>
                <w:rFonts w:hint="default" w:ascii="Times New Roman" w:hAnsi="Times New Roman" w:eastAsia="宋体" w:cs="Times New Roman"/>
              </w:rPr>
              <w:t>地表水</w:t>
            </w:r>
          </w:p>
        </w:tc>
        <w:tc>
          <w:tcPr>
            <w:tcW w:w="4412" w:type="pct"/>
            <w:gridSpan w:val="4"/>
            <w:vAlign w:val="center"/>
          </w:tcPr>
          <w:tbl>
            <w:tblPr>
              <w:tblStyle w:val="21"/>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657"/>
              <w:gridCol w:w="31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vMerge w:val="restart"/>
                  <w:tcBorders>
                    <w:tl2br w:val="nil"/>
                    <w:tr2bl w:val="nil"/>
                  </w:tcBorders>
                  <w:vAlign w:val="top"/>
                  <mc:AlternateContent>
                    <mc:Choice Requires="wpsCustomData">
                      <wpsCustomData:diagonals>
                        <wpsCustomData:diagonal from="10000" to="30000">
                          <wpsCustomData:border w:val="single" w:color="auto" w:sz="12" w:space="0"/>
                        </wpsCustomData:diagonal>
                      </wpsCustomData:diagonals>
                    </mc:Choice>
                  </mc:AlternateContent>
                </w:tcPr>
                <w:p>
                  <w:pPr>
                    <w:pStyle w:val="34"/>
                    <w:snapToGrid w:val="0"/>
                    <w:spacing w:line="240" w:lineRule="auto"/>
                    <w:jc w:val="center"/>
                    <mc:AlternateContent>
                      <mc:Choice Requires="wpsCustomData">
                        <wpsCustomData:diagonalParaType/>
                      </mc:Choice>
                    </mc:AlternateContent>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项目</w:t>
                  </w:r>
                </w:p>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点位</w:t>
                  </w:r>
                </w:p>
              </w:tc>
              <w:tc>
                <w:tcPr>
                  <w:tcW w:w="5830" w:type="dxa"/>
                  <w:gridSpan w:val="2"/>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施工段下游</w:t>
                  </w:r>
                  <w:r>
                    <w:rPr>
                      <w:rFonts w:hint="eastAsia" w:ascii="Times New Roman" w:hAnsi="Times New Roman" w:eastAsia="宋体" w:cs="Times New Roman"/>
                      <w:szCs w:val="21"/>
                      <w:vertAlign w:val="baseline"/>
                      <w:lang w:val="en-US" w:eastAsia="zh-CN"/>
                    </w:rPr>
                    <w:t xml:space="preserve"> </w:t>
                  </w:r>
                  <w:r>
                    <w:rPr>
                      <w:rFonts w:hint="default" w:ascii="Times New Roman" w:hAnsi="Times New Roman" w:eastAsia="宋体" w:cs="Times New Roman"/>
                      <w:sz w:val="21"/>
                      <w:szCs w:val="21"/>
                    </w:rPr>
                    <w:t>单位：</w:t>
                  </w:r>
                  <w:r>
                    <w:rPr>
                      <w:rFonts w:hint="default" w:ascii="Times New Roman" w:hAnsi="Times New Roman" w:cs="Times New Roman"/>
                      <w:color w:val="000000" w:themeColor="text1"/>
                      <w:kern w:val="0"/>
                      <w:sz w:val="21"/>
                      <w:szCs w:val="21"/>
                      <w:lang w:val="en-US" w:eastAsia="zh-CN"/>
                      <w14:textFill>
                        <w14:solidFill>
                          <w14:schemeClr w14:val="tx1"/>
                        </w14:solidFill>
                      </w14:textFill>
                    </w:rPr>
                    <w:t>mg/L</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szCs w:val="21"/>
                      <w:vertAlign w:val="baseline"/>
                      <w:lang w:val="en-US" w:eastAsia="zh-CN"/>
                    </w:rPr>
                    <w:t>pH</w:t>
                  </w:r>
                  <w:r>
                    <w:rPr>
                      <w:rFonts w:hint="eastAsia" w:ascii="Times New Roman" w:hAnsi="Times New Roman" w:eastAsia="宋体" w:cs="Times New Roman"/>
                      <w:szCs w:val="21"/>
                      <w:vertAlign w:val="baseline"/>
                      <w:lang w:val="en-US" w:eastAsia="zh-CN"/>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vMerge w:val="continue"/>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2660" w:type="dxa"/>
                  <w:tcBorders>
                    <w:tl2br w:val="nil"/>
                    <w:tr2bl w:val="nil"/>
                  </w:tcBorders>
                  <w:vAlign w:val="center"/>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202</w:t>
                  </w:r>
                  <w:r>
                    <w:rPr>
                      <w:rFonts w:hint="eastAsia" w:ascii="Times New Roman" w:hAnsi="Times New Roman" w:eastAsia="宋体" w:cs="Times New Roman"/>
                      <w:szCs w:val="21"/>
                      <w:vertAlign w:val="baseline"/>
                      <w:lang w:val="en-US" w:eastAsia="zh-CN"/>
                    </w:rPr>
                    <w:t>2</w:t>
                  </w:r>
                  <w:r>
                    <w:rPr>
                      <w:rFonts w:hint="default" w:ascii="Times New Roman" w:hAnsi="Times New Roman" w:eastAsia="宋体" w:cs="Times New Roman"/>
                      <w:szCs w:val="21"/>
                      <w:vertAlign w:val="baseline"/>
                      <w:lang w:val="en-US" w:eastAsia="zh-CN"/>
                    </w:rPr>
                    <w:t>.</w:t>
                  </w:r>
                  <w:r>
                    <w:rPr>
                      <w:rFonts w:hint="eastAsia" w:ascii="Times New Roman" w:hAnsi="Times New Roman" w:eastAsia="宋体" w:cs="Times New Roman"/>
                      <w:szCs w:val="21"/>
                      <w:vertAlign w:val="baseline"/>
                      <w:lang w:val="en-US" w:eastAsia="zh-CN"/>
                    </w:rPr>
                    <w:t>04.05</w:t>
                  </w:r>
                </w:p>
              </w:tc>
              <w:tc>
                <w:tcPr>
                  <w:tcW w:w="3170" w:type="dxa"/>
                  <w:tcBorders>
                    <w:tl2br w:val="nil"/>
                    <w:tr2bl w:val="nil"/>
                  </w:tcBorders>
                  <w:vAlign w:val="center"/>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t>2022.</w:t>
                  </w:r>
                  <w:r>
                    <w:rPr>
                      <w:rFonts w:hint="eastAsia" w:ascii="Times New Roman" w:hAnsi="Times New Roman" w:eastAsia="宋体" w:cs="Times New Roman"/>
                      <w:color w:val="000000" w:themeColor="text1"/>
                      <w:szCs w:val="21"/>
                      <w:vertAlign w:val="baseline"/>
                      <w:lang w:val="en-US" w:eastAsia="zh-CN"/>
                      <w14:textFill>
                        <w14:solidFill>
                          <w14:schemeClr w14:val="tx1"/>
                        </w14:solidFill>
                      </w14:textFill>
                    </w:rPr>
                    <w:t>09.24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pH</w:t>
                  </w:r>
                </w:p>
              </w:tc>
              <w:tc>
                <w:tcPr>
                  <w:tcW w:w="2660"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3170" w:type="dxa"/>
                  <w:tcBorders>
                    <w:tl2br w:val="nil"/>
                    <w:tr2bl w:val="nil"/>
                  </w:tcBorders>
                  <w:vAlign w:val="top"/>
                </w:tcPr>
                <w:p>
                  <w:pPr>
                    <w:pStyle w:val="34"/>
                    <w:jc w:val="center"/>
                    <w:rPr>
                      <w:rFonts w:hint="default" w:ascii="Times New Roman" w:hAnsi="Times New Roman" w:eastAsia="宋体" w:cs="Times New Roman"/>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高锰酸盐指数</w:t>
                  </w:r>
                </w:p>
              </w:tc>
              <w:tc>
                <w:tcPr>
                  <w:tcW w:w="2660"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3170" w:type="dxa"/>
                  <w:tcBorders>
                    <w:tl2br w:val="nil"/>
                    <w:tr2bl w:val="nil"/>
                  </w:tcBorders>
                  <w:vAlign w:val="top"/>
                </w:tcPr>
                <w:p>
                  <w:pPr>
                    <w:pStyle w:val="34"/>
                    <w:jc w:val="center"/>
                    <w:rPr>
                      <w:rFonts w:hint="default" w:ascii="Times New Roman" w:hAnsi="Times New Roman" w:eastAsia="宋体" w:cs="Times New Roman"/>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溶解氧</w:t>
                  </w:r>
                </w:p>
              </w:tc>
              <w:tc>
                <w:tcPr>
                  <w:tcW w:w="2660"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3170" w:type="dxa"/>
                  <w:tcBorders>
                    <w:tl2br w:val="nil"/>
                    <w:tr2bl w:val="nil"/>
                  </w:tcBorders>
                  <w:vAlign w:val="top"/>
                </w:tcPr>
                <w:p>
                  <w:pPr>
                    <w:pStyle w:val="34"/>
                    <w:jc w:val="center"/>
                    <w:rPr>
                      <w:rFonts w:hint="default" w:ascii="Times New Roman" w:hAnsi="Times New Roman" w:eastAsia="宋体" w:cs="Times New Roman"/>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CODcr</w:t>
                  </w:r>
                </w:p>
              </w:tc>
              <w:tc>
                <w:tcPr>
                  <w:tcW w:w="2660"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3170" w:type="dxa"/>
                  <w:tcBorders>
                    <w:tl2br w:val="nil"/>
                    <w:tr2bl w:val="nil"/>
                  </w:tcBorders>
                  <w:vAlign w:val="top"/>
                </w:tcPr>
                <w:p>
                  <w:pPr>
                    <w:pStyle w:val="34"/>
                    <w:jc w:val="center"/>
                    <w:rPr>
                      <w:rFonts w:hint="default" w:ascii="Times New Roman" w:hAnsi="Times New Roman" w:eastAsia="宋体" w:cs="Times New Roman"/>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BOD</w:t>
                  </w:r>
                  <w:r>
                    <w:rPr>
                      <w:rFonts w:hint="default" w:ascii="Times New Roman" w:hAnsi="Times New Roman" w:eastAsia="宋体" w:cs="Times New Roman"/>
                      <w:szCs w:val="21"/>
                      <w:vertAlign w:val="subscript"/>
                      <w:lang w:val="en-US" w:eastAsia="zh-CN"/>
                    </w:rPr>
                    <w:t>5</w:t>
                  </w:r>
                </w:p>
              </w:tc>
              <w:tc>
                <w:tcPr>
                  <w:tcW w:w="2660"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3170" w:type="dxa"/>
                  <w:tcBorders>
                    <w:tl2br w:val="nil"/>
                    <w:tr2bl w:val="nil"/>
                  </w:tcBorders>
                  <w:vAlign w:val="top"/>
                </w:tcPr>
                <w:p>
                  <w:pPr>
                    <w:pStyle w:val="34"/>
                    <w:jc w:val="center"/>
                    <w:rPr>
                      <w:rFonts w:hint="default" w:ascii="Times New Roman" w:hAnsi="Times New Roman" w:eastAsia="宋体" w:cs="Times New Roman"/>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氨氮</w:t>
                  </w:r>
                </w:p>
              </w:tc>
              <w:tc>
                <w:tcPr>
                  <w:tcW w:w="2660"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3170" w:type="dxa"/>
                  <w:tcBorders>
                    <w:tl2br w:val="nil"/>
                    <w:tr2bl w:val="nil"/>
                  </w:tcBorders>
                  <w:vAlign w:val="top"/>
                </w:tcPr>
                <w:p>
                  <w:pPr>
                    <w:pStyle w:val="34"/>
                    <w:jc w:val="center"/>
                    <w:rPr>
                      <w:rFonts w:hint="default" w:ascii="Times New Roman" w:hAnsi="Times New Roman" w:eastAsia="宋体" w:cs="Times New Roman"/>
                      <w:szCs w:val="21"/>
                      <w:vertAlign w:val="baseli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35"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总磷</w:t>
                  </w:r>
                </w:p>
              </w:tc>
              <w:tc>
                <w:tcPr>
                  <w:tcW w:w="2660" w:type="dxa"/>
                  <w:tcBorders>
                    <w:tl2br w:val="nil"/>
                    <w:tr2bl w:val="nil"/>
                  </w:tcBorders>
                  <w:vAlign w:val="top"/>
                </w:tcPr>
                <w:p>
                  <w:pPr>
                    <w:pStyle w:val="34"/>
                    <w:jc w:val="center"/>
                    <w:rPr>
                      <w:rFonts w:hint="default" w:ascii="Times New Roman" w:hAnsi="Times New Roman" w:eastAsia="宋体" w:cs="Times New Roman"/>
                      <w:szCs w:val="21"/>
                      <w:vertAlign w:val="baseline"/>
                      <w:lang w:val="en-US" w:eastAsia="zh-CN"/>
                    </w:rPr>
                  </w:pPr>
                </w:p>
              </w:tc>
              <w:tc>
                <w:tcPr>
                  <w:tcW w:w="3170" w:type="dxa"/>
                  <w:tcBorders>
                    <w:tl2br w:val="nil"/>
                    <w:tr2bl w:val="nil"/>
                  </w:tcBorders>
                  <w:vAlign w:val="top"/>
                </w:tcPr>
                <w:p>
                  <w:pPr>
                    <w:pStyle w:val="34"/>
                    <w:jc w:val="center"/>
                    <w:rPr>
                      <w:rFonts w:hint="default" w:ascii="Times New Roman" w:hAnsi="Times New Roman" w:eastAsia="宋体" w:cs="Times New Roman"/>
                      <w:szCs w:val="21"/>
                      <w:vertAlign w:val="baseline"/>
                    </w:rPr>
                  </w:pPr>
                </w:p>
              </w:tc>
            </w:tr>
          </w:tbl>
          <w:p>
            <w:pPr>
              <w:pStyle w:val="34"/>
              <w:spacing w:line="360" w:lineRule="auto"/>
              <w:ind w:firstLine="48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 w:val="24"/>
                <w:szCs w:val="24"/>
                <w:lang w:val="en-US" w:eastAsia="zh-CN"/>
              </w:rPr>
              <w:t>由以上检测数据表明：所测检测项目满足</w:t>
            </w:r>
            <w:r>
              <w:rPr>
                <w:rFonts w:hint="default" w:ascii="Times New Roman" w:hAnsi="Times New Roman" w:eastAsia="宋体" w:cs="Times New Roman"/>
                <w:color w:val="auto"/>
                <w:sz w:val="24"/>
                <w:szCs w:val="24"/>
                <w:highlight w:val="none"/>
              </w:rPr>
              <w:t>《地表水环境质量标准》（GB3838-2002）Ⅲ类标准要求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z w:val="24"/>
                <w:szCs w:val="24"/>
                <w:lang w:val="en-US" w:eastAsia="zh-CN"/>
              </w:rPr>
              <w:t>本项目施工过程未对该段地表水产生不利影响。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0" w:hRule="atLeast"/>
        </w:trPr>
        <w:tc>
          <w:tcPr>
            <w:tcW w:w="587" w:type="pct"/>
            <w:vAlign w:val="center"/>
          </w:tcPr>
          <w:p>
            <w:pPr>
              <w:pStyle w:val="34"/>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噪声</w:t>
            </w:r>
          </w:p>
        </w:tc>
        <w:tc>
          <w:tcPr>
            <w:tcW w:w="4412" w:type="pct"/>
            <w:gridSpan w:val="4"/>
            <w:vAlign w:val="center"/>
          </w:tcPr>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941"/>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dxa"/>
                  <w:vMerge w:val="restart"/>
                  <w:tcBorders>
                    <w:top w:val="single" w:color="auto" w:sz="12" w:space="0"/>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34"/>
                    <w:snapToGrid w:val="0"/>
                    <w:spacing w:line="240" w:lineRule="auto"/>
                    <w:jc w:val="center"/>
                    <mc:AlternateContent>
                      <mc:Choice Requires="wpsCustomData">
                        <wpsCustomData:diagonalParaType/>
                      </mc:Choice>
                    </mc:AlternateContent>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点位</w:t>
                  </w:r>
                </w:p>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项目</w:t>
                  </w:r>
                </w:p>
              </w:tc>
              <w:tc>
                <w:tcPr>
                  <w:tcW w:w="6082" w:type="dxa"/>
                  <w:gridSpan w:val="2"/>
                  <w:tcBorders>
                    <w:top w:val="single" w:color="auto" w:sz="12" w:space="0"/>
                    <w:right w:val="single" w:color="auto" w:sz="12" w:space="0"/>
                  </w:tcBorders>
                  <w:vAlign w:val="center"/>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 w:val="21"/>
                      <w:szCs w:val="21"/>
                    </w:rPr>
                    <w:t>等效声级</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单位：dB(A)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dxa"/>
                  <w:vMerge w:val="continue"/>
                  <w:tcBorders>
                    <w:left w:val="single" w:color="auto" w:sz="4" w:space="0"/>
                  </w:tcBorders>
                  <w:vAlign w:val="center"/>
                </w:tcPr>
                <w:p>
                  <w:pPr>
                    <w:pStyle w:val="34"/>
                    <w:jc w:val="center"/>
                    <w:rPr>
                      <w:rFonts w:hint="default" w:ascii="Times New Roman" w:hAnsi="Times New Roman" w:eastAsia="宋体" w:cs="Times New Roman"/>
                      <w:szCs w:val="21"/>
                      <w:vertAlign w:val="baseline"/>
                      <w:lang w:val="en-US" w:eastAsia="zh-CN"/>
                    </w:rPr>
                  </w:pPr>
                </w:p>
              </w:tc>
              <w:tc>
                <w:tcPr>
                  <w:tcW w:w="6082" w:type="dxa"/>
                  <w:gridSpan w:val="2"/>
                  <w:tcBorders>
                    <w:right w:val="single" w:color="auto" w:sz="12" w:space="0"/>
                  </w:tcBorders>
                  <w:vAlign w:val="center"/>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2022.</w:t>
                  </w:r>
                  <w:r>
                    <w:rPr>
                      <w:rFonts w:hint="eastAsia" w:ascii="Times New Roman" w:hAnsi="Times New Roman" w:eastAsia="宋体" w:cs="Times New Roman"/>
                      <w:szCs w:val="21"/>
                      <w:vertAlign w:val="baseline"/>
                      <w:lang w:val="en-US" w:eastAsia="zh-CN"/>
                    </w:rPr>
                    <w:t>09.24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dxa"/>
                  <w:vMerge w:val="continue"/>
                  <w:tcBorders>
                    <w:left w:val="single" w:color="auto" w:sz="4" w:space="0"/>
                  </w:tcBorders>
                  <w:vAlign w:val="center"/>
                </w:tcPr>
                <w:p>
                  <w:pPr>
                    <w:pStyle w:val="34"/>
                    <w:jc w:val="center"/>
                    <w:rPr>
                      <w:rFonts w:hint="default" w:ascii="Times New Roman" w:hAnsi="Times New Roman" w:eastAsia="宋体" w:cs="Times New Roman"/>
                      <w:szCs w:val="21"/>
                      <w:vertAlign w:val="baseline"/>
                      <w:lang w:val="en-US" w:eastAsia="zh-CN"/>
                    </w:rPr>
                  </w:pPr>
                </w:p>
              </w:tc>
              <w:tc>
                <w:tcPr>
                  <w:tcW w:w="2925" w:type="dxa"/>
                  <w:vAlign w:val="center"/>
                </w:tcPr>
                <w:p>
                  <w:pPr>
                    <w:pStyle w:val="34"/>
                    <w:jc w:val="center"/>
                    <w:rPr>
                      <w:rFonts w:hint="default" w:ascii="Times New Roman" w:hAnsi="Times New Roman" w:eastAsia="宋体" w:cs="Times New Roman"/>
                      <w:szCs w:val="21"/>
                      <w:vertAlign w:val="baseline"/>
                      <w:lang w:val="en-US" w:eastAsia="zh-CN"/>
                    </w:rPr>
                  </w:pPr>
                  <w:r>
                    <w:rPr>
                      <w:rFonts w:hint="eastAsia" w:ascii="Times New Roman" w:hAnsi="Times New Roman" w:eastAsia="宋体" w:cs="Times New Roman"/>
                      <w:szCs w:val="21"/>
                      <w:vertAlign w:val="baseline"/>
                      <w:lang w:val="en-US" w:eastAsia="zh-CN"/>
                    </w:rPr>
                    <w:t>昼</w:t>
                  </w:r>
                </w:p>
              </w:tc>
              <w:tc>
                <w:tcPr>
                  <w:tcW w:w="3157" w:type="dxa"/>
                  <w:tcBorders>
                    <w:right w:val="single" w:color="auto" w:sz="12" w:space="0"/>
                  </w:tcBorders>
                  <w:vAlign w:val="center"/>
                </w:tcPr>
                <w:p>
                  <w:pPr>
                    <w:pStyle w:val="34"/>
                    <w:jc w:val="center"/>
                    <w:rPr>
                      <w:rFonts w:hint="default" w:ascii="Times New Roman" w:hAnsi="Times New Roman" w:eastAsia="宋体" w:cs="Times New Roman"/>
                      <w:szCs w:val="21"/>
                      <w:vertAlign w:val="baseline"/>
                      <w:lang w:val="en-US" w:eastAsia="zh-CN"/>
                    </w:rPr>
                  </w:pPr>
                  <w:r>
                    <w:rPr>
                      <w:rFonts w:hint="eastAsia" w:ascii="Times New Roman" w:hAnsi="Times New Roman" w:eastAsia="宋体" w:cs="Times New Roman"/>
                      <w:szCs w:val="21"/>
                      <w:vertAlign w:val="baseline"/>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dxa"/>
                  <w:tcBorders>
                    <w:left w:val="single" w:color="auto" w:sz="4" w:space="0"/>
                  </w:tcBorders>
                  <w:vAlign w:val="center"/>
                </w:tcPr>
                <w:p>
                  <w:pPr>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lang w:val="en-US" w:eastAsia="zh-CN"/>
                    </w:rPr>
                    <w:t>红桥村</w:t>
                  </w:r>
                </w:p>
              </w:tc>
              <w:tc>
                <w:tcPr>
                  <w:tcW w:w="2925" w:type="dxa"/>
                  <w:vAlign w:val="center"/>
                </w:tcPr>
                <w:p>
                  <w:pPr>
                    <w:pStyle w:val="34"/>
                    <w:jc w:val="center"/>
                    <w:rPr>
                      <w:rFonts w:hint="default" w:ascii="Times New Roman" w:hAnsi="Times New Roman" w:eastAsia="宋体" w:cs="Times New Roman"/>
                      <w:szCs w:val="21"/>
                      <w:vertAlign w:val="baseline"/>
                    </w:rPr>
                  </w:pPr>
                </w:p>
              </w:tc>
              <w:tc>
                <w:tcPr>
                  <w:tcW w:w="3157" w:type="dxa"/>
                  <w:tcBorders>
                    <w:right w:val="single" w:color="auto" w:sz="12" w:space="0"/>
                  </w:tcBorders>
                  <w:vAlign w:val="center"/>
                </w:tcPr>
                <w:p>
                  <w:pPr>
                    <w:pStyle w:val="34"/>
                    <w:jc w:val="center"/>
                    <w:rPr>
                      <w:rFonts w:hint="default" w:ascii="Times New Roman" w:hAnsi="Times New Roman" w:eastAsia="宋体" w:cs="Times New Roman"/>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3" w:type="dxa"/>
                  <w:tcBorders>
                    <w:left w:val="single" w:color="auto" w:sz="4" w:space="0"/>
                    <w:bottom w:val="single" w:color="auto" w:sz="12" w:space="0"/>
                  </w:tcBorders>
                  <w:vAlign w:val="center"/>
                </w:tcPr>
                <w:p>
                  <w:pPr>
                    <w:pStyle w:val="9"/>
                    <w:spacing w:after="0"/>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lang w:val="en-US" w:eastAsia="zh-CN"/>
                    </w:rPr>
                    <w:t>石口村</w:t>
                  </w:r>
                </w:p>
              </w:tc>
              <w:tc>
                <w:tcPr>
                  <w:tcW w:w="2925" w:type="dxa"/>
                  <w:tcBorders>
                    <w:bottom w:val="single" w:color="auto" w:sz="12" w:space="0"/>
                  </w:tcBorders>
                  <w:vAlign w:val="center"/>
                </w:tcPr>
                <w:p>
                  <w:pPr>
                    <w:pStyle w:val="34"/>
                    <w:jc w:val="center"/>
                    <w:rPr>
                      <w:rFonts w:hint="default" w:ascii="Times New Roman" w:hAnsi="Times New Roman" w:eastAsia="宋体" w:cs="Times New Roman"/>
                      <w:szCs w:val="21"/>
                      <w:vertAlign w:val="baseline"/>
                    </w:rPr>
                  </w:pPr>
                </w:p>
              </w:tc>
              <w:tc>
                <w:tcPr>
                  <w:tcW w:w="3157" w:type="dxa"/>
                  <w:tcBorders>
                    <w:bottom w:val="single" w:color="auto" w:sz="12" w:space="0"/>
                    <w:right w:val="single" w:color="auto" w:sz="12" w:space="0"/>
                  </w:tcBorders>
                  <w:vAlign w:val="center"/>
                </w:tcPr>
                <w:p>
                  <w:pPr>
                    <w:pStyle w:val="34"/>
                    <w:jc w:val="center"/>
                    <w:rPr>
                      <w:rFonts w:hint="default" w:ascii="Times New Roman" w:hAnsi="Times New Roman" w:eastAsia="宋体" w:cs="Times New Roman"/>
                      <w:szCs w:val="21"/>
                      <w:vertAlign w:val="baseline"/>
                    </w:rPr>
                  </w:pPr>
                </w:p>
              </w:tc>
            </w:tr>
          </w:tbl>
          <w:p>
            <w:pPr>
              <w:pStyle w:val="34"/>
              <w:spacing w:line="360" w:lineRule="auto"/>
              <w:ind w:firstLine="480" w:firstLineChars="200"/>
              <w:jc w:val="left"/>
              <w:rPr>
                <w:rFonts w:hint="default" w:ascii="Times New Roman" w:hAnsi="Times New Roman" w:eastAsia="宋体" w:cs="Times New Roman"/>
                <w:szCs w:val="21"/>
                <w:lang w:eastAsia="zh-CN"/>
              </w:rPr>
            </w:pPr>
            <w:r>
              <w:rPr>
                <w:rFonts w:hint="default" w:ascii="Times New Roman" w:hAnsi="Times New Roman" w:eastAsia="宋体" w:cs="Times New Roman"/>
                <w:sz w:val="24"/>
                <w:szCs w:val="24"/>
              </w:rPr>
              <w:t>根据监测结果统计可知项目</w:t>
            </w:r>
            <w:r>
              <w:rPr>
                <w:rFonts w:hint="default" w:ascii="Times New Roman" w:hAnsi="Times New Roman" w:eastAsia="宋体" w:cs="Times New Roman"/>
                <w:sz w:val="24"/>
                <w:szCs w:val="24"/>
                <w:lang w:val="en-US" w:eastAsia="zh-CN"/>
              </w:rPr>
              <w:t>周边</w:t>
            </w:r>
            <w:r>
              <w:rPr>
                <w:rFonts w:hint="default" w:ascii="Times New Roman" w:hAnsi="Times New Roman" w:eastAsia="宋体" w:cs="Times New Roman"/>
                <w:sz w:val="24"/>
                <w:szCs w:val="24"/>
              </w:rPr>
              <w:t>噪声排放满足《声环境质量标准》（GB3096-2008）的</w:t>
            </w:r>
            <w:r>
              <w:rPr>
                <w:rFonts w:hint="default" w:ascii="Times New Roman" w:hAnsi="Times New Roman" w:eastAsia="宋体" w:cs="Times New Roman"/>
                <w:color w:val="000000" w:themeColor="text1"/>
                <w:sz w:val="24"/>
                <w:szCs w:val="24"/>
                <w14:textFill>
                  <w14:solidFill>
                    <w14:schemeClr w14:val="tx1"/>
                  </w14:solidFill>
                </w14:textFill>
              </w:rPr>
              <w:t>Ⅰ类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w:t>
            </w:r>
            <w:r>
              <w:rPr>
                <w:rFonts w:hint="default" w:ascii="Times New Roman" w:hAnsi="Times New Roman" w:eastAsia="宋体" w:cs="Times New Roman"/>
                <w:sz w:val="24"/>
                <w:szCs w:val="24"/>
              </w:rPr>
              <w:t>要求</w:t>
            </w:r>
            <w:r>
              <w:rPr>
                <w:rFonts w:hint="default" w:ascii="Times New Roman" w:hAnsi="Times New Roman" w:eastAsia="宋体" w:cs="Times New Roman"/>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0" w:hRule="atLeast"/>
        </w:trPr>
        <w:tc>
          <w:tcPr>
            <w:tcW w:w="587" w:type="pct"/>
            <w:vAlign w:val="center"/>
          </w:tcPr>
          <w:p>
            <w:pPr>
              <w:pStyle w:val="34"/>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大气环境</w:t>
            </w:r>
          </w:p>
        </w:tc>
        <w:tc>
          <w:tcPr>
            <w:tcW w:w="4412" w:type="pct"/>
            <w:gridSpan w:val="4"/>
            <w:vAlign w:val="center"/>
          </w:tcPr>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925"/>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53" w:type="dxa"/>
                  <w:vMerge w:val="restart"/>
                  <w:tcBorders>
                    <w:top w:val="single" w:color="auto" w:sz="12" w:space="0"/>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34"/>
                    <w:snapToGrid w:val="0"/>
                    <w:spacing w:line="240" w:lineRule="auto"/>
                    <w:jc w:val="center"/>
                    <mc:AlternateContent>
                      <mc:Choice Requires="wpsCustomData">
                        <wpsCustomData:diagonalParaType/>
                      </mc:Choice>
                    </mc:AlternateContent>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点位</w:t>
                  </w:r>
                </w:p>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项目</w:t>
                  </w:r>
                </w:p>
              </w:tc>
              <w:tc>
                <w:tcPr>
                  <w:tcW w:w="6082" w:type="dxa"/>
                  <w:gridSpan w:val="2"/>
                  <w:tcBorders>
                    <w:top w:val="single" w:color="auto" w:sz="12" w:space="0"/>
                    <w:right w:val="single" w:color="auto" w:sz="12" w:space="0"/>
                  </w:tcBorders>
                  <w:vAlign w:val="center"/>
                </w:tcPr>
                <w:p>
                  <w:pPr>
                    <w:pStyle w:val="34"/>
                    <w:jc w:val="center"/>
                    <w:rPr>
                      <w:rFonts w:hint="default" w:ascii="Times New Roman" w:hAnsi="Times New Roman" w:eastAsia="宋体" w:cs="Times New Roman"/>
                      <w:szCs w:val="21"/>
                      <w:vertAlign w:val="baseline"/>
                      <w:lang w:val="en-US" w:eastAsia="zh-CN"/>
                    </w:rPr>
                  </w:pPr>
                  <w:r>
                    <w:rPr>
                      <w:rFonts w:hint="eastAsia" w:ascii="Times New Roman" w:hAnsi="Times New Roman" w:eastAsia="宋体" w:cs="Times New Roman"/>
                      <w:sz w:val="21"/>
                      <w:szCs w:val="21"/>
                      <w:lang w:val="en-US" w:eastAsia="zh-CN"/>
                    </w:rPr>
                    <w:t xml:space="preserve">TSP </w:t>
                  </w:r>
                  <w:r>
                    <w:rPr>
                      <w:rFonts w:hint="default" w:ascii="Times New Roman" w:hAnsi="Times New Roman" w:eastAsia="宋体" w:cs="Times New Roman"/>
                      <w:sz w:val="21"/>
                      <w:szCs w:val="21"/>
                    </w:rPr>
                    <w:t>单位：</w:t>
                  </w:r>
                  <w:r>
                    <w:rPr>
                      <w:rFonts w:hint="default" w:ascii="Times New Roman" w:hAnsi="Times New Roman" w:cs="Times New Roman"/>
                      <w:sz w:val="21"/>
                      <w:szCs w:val="21"/>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353" w:type="dxa"/>
                  <w:vMerge w:val="continue"/>
                  <w:tcBorders>
                    <w:left w:val="single" w:color="auto" w:sz="4" w:space="0"/>
                  </w:tcBorders>
                  <w:vAlign w:val="center"/>
                </w:tcPr>
                <w:p>
                  <w:pPr>
                    <w:pStyle w:val="34"/>
                    <w:jc w:val="center"/>
                    <w:rPr>
                      <w:rFonts w:hint="default" w:ascii="Times New Roman" w:hAnsi="Times New Roman" w:eastAsia="宋体" w:cs="Times New Roman"/>
                      <w:szCs w:val="21"/>
                      <w:vertAlign w:val="baseline"/>
                      <w:lang w:val="en-US" w:eastAsia="zh-CN"/>
                    </w:rPr>
                  </w:pPr>
                </w:p>
              </w:tc>
              <w:tc>
                <w:tcPr>
                  <w:tcW w:w="6082" w:type="dxa"/>
                  <w:gridSpan w:val="2"/>
                  <w:tcBorders>
                    <w:right w:val="single" w:color="auto" w:sz="12" w:space="0"/>
                  </w:tcBorders>
                  <w:vAlign w:val="center"/>
                </w:tcPr>
                <w:p>
                  <w:pPr>
                    <w:pStyle w:val="34"/>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vertAlign w:val="baseline"/>
                      <w:lang w:val="en-US" w:eastAsia="zh-CN"/>
                    </w:rPr>
                    <w:t>2022.</w:t>
                  </w:r>
                  <w:r>
                    <w:rPr>
                      <w:rFonts w:hint="eastAsia" w:ascii="Times New Roman" w:hAnsi="Times New Roman" w:eastAsia="宋体" w:cs="Times New Roman"/>
                      <w:szCs w:val="21"/>
                      <w:vertAlign w:val="baseline"/>
                      <w:lang w:val="en-US" w:eastAsia="zh-CN"/>
                    </w:rPr>
                    <w:t>09.24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Borders>
                    <w:left w:val="single" w:color="auto" w:sz="4" w:space="0"/>
                  </w:tcBorders>
                  <w:vAlign w:val="center"/>
                </w:tcPr>
                <w:p>
                  <w:pPr>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lang w:val="en-US" w:eastAsia="zh-CN"/>
                    </w:rPr>
                    <w:t>红桥村</w:t>
                  </w:r>
                </w:p>
              </w:tc>
              <w:tc>
                <w:tcPr>
                  <w:tcW w:w="2925" w:type="dxa"/>
                  <w:vAlign w:val="center"/>
                </w:tcPr>
                <w:p>
                  <w:pPr>
                    <w:pStyle w:val="34"/>
                    <w:jc w:val="center"/>
                    <w:rPr>
                      <w:rFonts w:hint="default" w:ascii="Times New Roman" w:hAnsi="Times New Roman" w:eastAsia="宋体" w:cs="Times New Roman"/>
                      <w:szCs w:val="21"/>
                      <w:vertAlign w:val="baseline"/>
                    </w:rPr>
                  </w:pPr>
                </w:p>
              </w:tc>
              <w:tc>
                <w:tcPr>
                  <w:tcW w:w="3157" w:type="dxa"/>
                  <w:tcBorders>
                    <w:right w:val="single" w:color="auto" w:sz="12" w:space="0"/>
                  </w:tcBorders>
                  <w:vAlign w:val="center"/>
                </w:tcPr>
                <w:p>
                  <w:pPr>
                    <w:pStyle w:val="34"/>
                    <w:jc w:val="center"/>
                    <w:rPr>
                      <w:rFonts w:hint="default" w:ascii="Times New Roman" w:hAnsi="Times New Roman" w:eastAsia="宋体" w:cs="Times New Roman"/>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tcBorders>
                    <w:left w:val="single" w:color="auto" w:sz="4" w:space="0"/>
                    <w:bottom w:val="single" w:color="auto" w:sz="12" w:space="0"/>
                  </w:tcBorders>
                  <w:vAlign w:val="center"/>
                </w:tcPr>
                <w:p>
                  <w:pPr>
                    <w:pStyle w:val="9"/>
                    <w:spacing w:after="0"/>
                    <w:jc w:val="center"/>
                    <w:rPr>
                      <w:rFonts w:hint="default" w:ascii="Times New Roman" w:hAnsi="Times New Roman" w:eastAsia="宋体" w:cs="Times New Roman"/>
                      <w:szCs w:val="21"/>
                      <w:vertAlign w:val="baseline"/>
                      <w:lang w:val="en-US" w:eastAsia="zh-CN"/>
                    </w:rPr>
                  </w:pPr>
                  <w:r>
                    <w:rPr>
                      <w:rFonts w:hint="default" w:ascii="Times New Roman" w:hAnsi="Times New Roman" w:eastAsia="宋体" w:cs="Times New Roman"/>
                      <w:szCs w:val="21"/>
                      <w:lang w:val="en-US" w:eastAsia="zh-CN"/>
                    </w:rPr>
                    <w:t>石口村</w:t>
                  </w:r>
                </w:p>
              </w:tc>
              <w:tc>
                <w:tcPr>
                  <w:tcW w:w="2925" w:type="dxa"/>
                  <w:tcBorders>
                    <w:bottom w:val="single" w:color="auto" w:sz="12" w:space="0"/>
                  </w:tcBorders>
                  <w:vAlign w:val="center"/>
                </w:tcPr>
                <w:p>
                  <w:pPr>
                    <w:pStyle w:val="34"/>
                    <w:jc w:val="center"/>
                    <w:rPr>
                      <w:rFonts w:hint="default" w:ascii="Times New Roman" w:hAnsi="Times New Roman" w:eastAsia="宋体" w:cs="Times New Roman"/>
                      <w:szCs w:val="21"/>
                      <w:vertAlign w:val="baseline"/>
                    </w:rPr>
                  </w:pPr>
                </w:p>
              </w:tc>
              <w:tc>
                <w:tcPr>
                  <w:tcW w:w="3157" w:type="dxa"/>
                  <w:tcBorders>
                    <w:bottom w:val="single" w:color="auto" w:sz="12" w:space="0"/>
                    <w:right w:val="single" w:color="auto" w:sz="12" w:space="0"/>
                  </w:tcBorders>
                  <w:vAlign w:val="center"/>
                </w:tcPr>
                <w:p>
                  <w:pPr>
                    <w:pStyle w:val="34"/>
                    <w:jc w:val="center"/>
                    <w:rPr>
                      <w:rFonts w:hint="default" w:ascii="Times New Roman" w:hAnsi="Times New Roman" w:eastAsia="宋体" w:cs="Times New Roman"/>
                      <w:szCs w:val="21"/>
                      <w:vertAlign w:val="baseline"/>
                    </w:rPr>
                  </w:pPr>
                </w:p>
              </w:tc>
            </w:tr>
          </w:tbl>
          <w:p>
            <w:pPr>
              <w:pStyle w:val="34"/>
              <w:spacing w:line="360" w:lineRule="auto"/>
              <w:ind w:firstLine="480" w:firstLineChars="200"/>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根据监测结果统计可知项目</w:t>
            </w:r>
            <w:r>
              <w:rPr>
                <w:rFonts w:hint="eastAsia" w:ascii="Times New Roman" w:hAnsi="Times New Roman" w:eastAsia="宋体" w:cs="Times New Roman"/>
                <w:sz w:val="24"/>
                <w:szCs w:val="24"/>
                <w:lang w:val="en-US" w:eastAsia="zh-CN"/>
              </w:rPr>
              <w:t>大气环境</w:t>
            </w:r>
            <w:r>
              <w:rPr>
                <w:rFonts w:hint="default" w:ascii="Times New Roman" w:hAnsi="Times New Roman" w:eastAsia="宋体" w:cs="Times New Roman"/>
                <w:sz w:val="24"/>
                <w:szCs w:val="24"/>
              </w:rPr>
              <w:t>满足《</w:t>
            </w:r>
            <w:r>
              <w:rPr>
                <w:rFonts w:hint="eastAsia" w:ascii="Times New Roman" w:hAnsi="Times New Roman" w:eastAsia="宋体" w:cs="Times New Roman"/>
                <w:sz w:val="24"/>
                <w:szCs w:val="24"/>
                <w:lang w:eastAsia="zh-CN"/>
              </w:rPr>
              <w:t>环境空气</w:t>
            </w:r>
            <w:r>
              <w:rPr>
                <w:rFonts w:hint="default" w:ascii="Times New Roman" w:hAnsi="Times New Roman" w:eastAsia="宋体" w:cs="Times New Roman"/>
                <w:sz w:val="24"/>
                <w:szCs w:val="24"/>
              </w:rPr>
              <w:t>质量标准》（GB309</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II</w:t>
            </w:r>
            <w:r>
              <w:rPr>
                <w:rFonts w:hint="default" w:ascii="Times New Roman" w:hAnsi="Times New Roman" w:eastAsia="宋体" w:cs="Times New Roman"/>
                <w:color w:val="000000" w:themeColor="text1"/>
                <w:sz w:val="24"/>
                <w:szCs w:val="24"/>
                <w14:textFill>
                  <w14:solidFill>
                    <w14:schemeClr w14:val="tx1"/>
                  </w14:solidFill>
                </w14:textFill>
              </w:rPr>
              <w:t>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标准</w:t>
            </w:r>
            <w:r>
              <w:rPr>
                <w:rFonts w:hint="default" w:ascii="Times New Roman" w:hAnsi="Times New Roman" w:eastAsia="宋体" w:cs="Times New Roman"/>
                <w:sz w:val="24"/>
                <w:szCs w:val="24"/>
              </w:rPr>
              <w:t>要求</w:t>
            </w:r>
            <w:r>
              <w:rPr>
                <w:rFonts w:hint="default" w:ascii="Times New Roman" w:hAnsi="Times New Roman" w:eastAsia="宋体" w:cs="Times New Roman"/>
                <w:sz w:val="24"/>
                <w:szCs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0" w:hRule="atLeast"/>
        </w:trPr>
        <w:tc>
          <w:tcPr>
            <w:tcW w:w="5000" w:type="pct"/>
            <w:gridSpan w:val="5"/>
            <w:vAlign w:val="center"/>
          </w:tcPr>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1909445" cy="2546985"/>
                  <wp:effectExtent l="0" t="0" r="14605" b="5715"/>
                  <wp:docPr id="23" name="图片 23" descr="a36f64f04688e02c2efbae8c3cb8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36f64f04688e02c2efbae8c3cb8b96"/>
                          <pic:cNvPicPr>
                            <a:picLocks noChangeAspect="1"/>
                          </pic:cNvPicPr>
                        </pic:nvPicPr>
                        <pic:blipFill>
                          <a:blip r:embed="rId22"/>
                          <a:stretch>
                            <a:fillRect/>
                          </a:stretch>
                        </pic:blipFill>
                        <pic:spPr>
                          <a:xfrm>
                            <a:off x="0" y="0"/>
                            <a:ext cx="1909445" cy="2546985"/>
                          </a:xfrm>
                          <a:prstGeom prst="rect">
                            <a:avLst/>
                          </a:prstGeom>
                        </pic:spPr>
                      </pic:pic>
                    </a:graphicData>
                  </a:graphic>
                </wp:inline>
              </w:drawing>
            </w:r>
            <w:r>
              <w:rPr>
                <w:rFonts w:hint="default" w:ascii="Times New Roman" w:hAnsi="Times New Roman" w:eastAsia="宋体" w:cs="Times New Roman"/>
                <w:b/>
                <w:bCs/>
                <w:sz w:val="21"/>
                <w:szCs w:val="21"/>
                <w:lang w:val="en-US" w:eastAsia="zh-CN"/>
              </w:rPr>
              <w:drawing>
                <wp:inline distT="0" distB="0" distL="114300" distR="114300">
                  <wp:extent cx="1899920" cy="2533650"/>
                  <wp:effectExtent l="0" t="0" r="5080" b="0"/>
                  <wp:docPr id="24" name="图片 24" descr="dd2a8a5b49b4374b5bd186288cf7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d2a8a5b49b4374b5bd186288cf7a77"/>
                          <pic:cNvPicPr>
                            <a:picLocks noChangeAspect="1"/>
                          </pic:cNvPicPr>
                        </pic:nvPicPr>
                        <pic:blipFill>
                          <a:blip r:embed="rId23"/>
                          <a:stretch>
                            <a:fillRect/>
                          </a:stretch>
                        </pic:blipFill>
                        <pic:spPr>
                          <a:xfrm>
                            <a:off x="0" y="0"/>
                            <a:ext cx="1899920" cy="2533650"/>
                          </a:xfrm>
                          <a:prstGeom prst="rect">
                            <a:avLst/>
                          </a:prstGeom>
                        </pic:spPr>
                      </pic:pic>
                    </a:graphicData>
                  </a:graphic>
                </wp:inline>
              </w:drawing>
            </w:r>
            <w:r>
              <w:rPr>
                <w:rFonts w:hint="default" w:ascii="Times New Roman" w:hAnsi="Times New Roman" w:eastAsia="宋体" w:cs="Times New Roman"/>
                <w:b/>
                <w:bCs/>
                <w:sz w:val="21"/>
                <w:szCs w:val="21"/>
                <w:lang w:val="en-US" w:eastAsia="zh-CN"/>
              </w:rPr>
              <w:drawing>
                <wp:inline distT="0" distB="0" distL="114300" distR="114300">
                  <wp:extent cx="2057400" cy="2744470"/>
                  <wp:effectExtent l="0" t="0" r="0" b="17780"/>
                  <wp:docPr id="25" name="图片 25" descr="微信图片_2022101308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1013081127"/>
                          <pic:cNvPicPr>
                            <a:picLocks noChangeAspect="1"/>
                          </pic:cNvPicPr>
                        </pic:nvPicPr>
                        <pic:blipFill>
                          <a:blip r:embed="rId24"/>
                          <a:stretch>
                            <a:fillRect/>
                          </a:stretch>
                        </pic:blipFill>
                        <pic:spPr>
                          <a:xfrm>
                            <a:off x="0" y="0"/>
                            <a:ext cx="2057400" cy="2744470"/>
                          </a:xfrm>
                          <a:prstGeom prst="rect">
                            <a:avLst/>
                          </a:prstGeom>
                        </pic:spPr>
                      </pic:pic>
                    </a:graphicData>
                  </a:graphic>
                </wp:inline>
              </w:drawing>
            </w:r>
          </w:p>
          <w:p>
            <w:pPr>
              <w:spacing w:line="360" w:lineRule="auto"/>
              <w:jc w:val="center"/>
              <w:rPr>
                <w:rFonts w:hint="default" w:ascii="Times New Roman" w:hAnsi="Times New Roman" w:eastAsia="宋体" w:cs="Times New Roman"/>
                <w:sz w:val="24"/>
                <w:szCs w:val="24"/>
              </w:rPr>
            </w:pPr>
            <w:r>
              <w:rPr>
                <w:rFonts w:hint="eastAsia" w:ascii="Times New Roman" w:hAnsi="Times New Roman" w:eastAsia="宋体" w:cs="Times New Roman"/>
                <w:b/>
                <w:bCs/>
                <w:sz w:val="21"/>
                <w:szCs w:val="21"/>
                <w:lang w:val="en-US" w:eastAsia="zh-CN"/>
              </w:rPr>
              <w:t>图10-1 现场采样图</w:t>
            </w:r>
          </w:p>
        </w:tc>
      </w:tr>
    </w:tbl>
    <w:p>
      <w:pPr>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环境管理状况及监测计划</w:t>
      </w:r>
    </w:p>
    <w:p>
      <w:pPr>
        <w:rPr>
          <w:rFonts w:hint="default" w:ascii="Times New Roman" w:hAnsi="Times New Roman" w:cs="Times New Roman"/>
          <w:lang w:val="en-US" w:eastAsia="zh-CN"/>
        </w:rPr>
      </w:pPr>
    </w:p>
    <w:tbl>
      <w:tblPr>
        <w:tblStyle w:val="20"/>
        <w:tblW w:w="501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4" w:hRule="atLeast"/>
        </w:trPr>
        <w:tc>
          <w:tcPr>
            <w:tcW w:w="5000" w:type="pct"/>
          </w:tcPr>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环境管理机构设置（分施工期和运营期）</w:t>
            </w:r>
            <w:r>
              <w:rPr>
                <w:rFonts w:hint="default" w:ascii="Times New Roman" w:hAnsi="Times New Roman" w:eastAsia="宋体" w:cs="Times New Roman"/>
                <w:lang w:val="en-US" w:eastAsia="zh-CN"/>
              </w:rPr>
              <w:br w:type="textWrapping"/>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本项目在工程施工期成立了环境管理小组，负责管理施工期各类污染防治工作。运营期由当地水利部门负责管理工作。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5" w:hRule="atLeast"/>
        </w:trPr>
        <w:tc>
          <w:tcPr>
            <w:tcW w:w="5000" w:type="pct"/>
          </w:tcPr>
          <w:p>
            <w:pPr>
              <w:pStyle w:val="34"/>
              <w:spacing w:line="360" w:lineRule="auto"/>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环境监测能力建设</w:t>
            </w:r>
          </w:p>
          <w:p>
            <w:pPr>
              <w:pStyle w:val="34"/>
              <w:spacing w:line="360" w:lineRule="auto"/>
              <w:rPr>
                <w:rFonts w:hint="default" w:ascii="Times New Roman" w:hAnsi="Times New Roman" w:eastAsia="宋体" w:cs="Times New Roman"/>
                <w:sz w:val="24"/>
                <w:szCs w:val="24"/>
                <w:lang w:val="en-US" w:eastAsia="zh-CN"/>
              </w:rPr>
            </w:pP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本项目未设置环境监测机构，日常监测工作委托第三方环境监测机构进行。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5000" w:type="pct"/>
          </w:tcPr>
          <w:p>
            <w:pPr>
              <w:pStyle w:val="34"/>
              <w:spacing w:line="360" w:lineRule="auto"/>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环境影响报告表中提出的监测计划及其落实情况</w:t>
            </w:r>
          </w:p>
          <w:p>
            <w:pPr>
              <w:pStyle w:val="34"/>
              <w:spacing w:line="360" w:lineRule="auto"/>
              <w:rPr>
                <w:rFonts w:hint="default" w:ascii="Times New Roman" w:hAnsi="Times New Roman" w:eastAsia="宋体" w:cs="Times New Roman"/>
                <w:sz w:val="24"/>
                <w:szCs w:val="24"/>
                <w:lang w:val="en-US" w:eastAsia="zh-CN"/>
              </w:rPr>
            </w:pP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环境影响报告表中对施工期提出了对水、气、声、生态等监测计划，基本落实。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8" w:hRule="atLeast"/>
        </w:trPr>
        <w:tc>
          <w:tcPr>
            <w:tcW w:w="5000" w:type="pct"/>
          </w:tcPr>
          <w:p>
            <w:pPr>
              <w:pStyle w:val="34"/>
              <w:spacing w:line="360" w:lineRule="auto"/>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环境管理状态分析与建议</w:t>
            </w:r>
          </w:p>
          <w:p>
            <w:pPr>
              <w:pStyle w:val="34"/>
              <w:spacing w:line="360" w:lineRule="auto"/>
              <w:rPr>
                <w:rFonts w:hint="default" w:ascii="Times New Roman" w:hAnsi="Times New Roman" w:eastAsia="宋体" w:cs="Times New Roman"/>
                <w:sz w:val="24"/>
                <w:szCs w:val="24"/>
                <w:lang w:val="en-US" w:eastAsia="zh-CN"/>
              </w:rPr>
            </w:pP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建设单位在工程施工过程中，重视环境保护工作，管理落实到位较好地贯彻了工程建设和环境保护并重的原则。</w:t>
            </w:r>
          </w:p>
          <w:p>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项目运营期的环境管理</w:t>
            </w:r>
            <w:r>
              <w:rPr>
                <w:rFonts w:hint="eastAsia" w:ascii="Times New Roman" w:hAnsi="Times New Roman" w:eastAsia="宋体" w:cs="Times New Roman"/>
                <w:sz w:val="24"/>
                <w:szCs w:val="24"/>
                <w:lang w:val="en-US" w:eastAsia="zh-CN"/>
              </w:rPr>
              <w:t>由</w:t>
            </w:r>
            <w:r>
              <w:rPr>
                <w:rFonts w:hint="default" w:ascii="Times New Roman" w:hAnsi="Times New Roman" w:eastAsia="宋体" w:cs="Times New Roman"/>
                <w:sz w:val="24"/>
                <w:szCs w:val="24"/>
                <w:lang w:val="en-US" w:eastAsia="zh-CN"/>
              </w:rPr>
              <w:t>当地水利部门负责，为进一步做好日常环境保护工作，建议建设单位健全环境管理机构，完善环境管理制度。</w:t>
            </w:r>
          </w:p>
        </w:tc>
      </w:tr>
    </w:tbl>
    <w:p>
      <w:pPr>
        <w:pStyle w:val="2"/>
        <w:numPr>
          <w:ilvl w:val="3"/>
          <w:numId w:val="0"/>
        </w:numPr>
        <w:rPr>
          <w:rFonts w:hint="default" w:ascii="Times New Roman" w:hAnsi="Times New Roman" w:cs="Times New Roman"/>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9"/>
        <w:tabs>
          <w:tab w:val="left" w:pos="893"/>
        </w:tabs>
        <w:spacing w:before="68"/>
        <w:ind w:right="275"/>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调查结论与建议</w:t>
      </w:r>
    </w:p>
    <w:tbl>
      <w:tblPr>
        <w:tblStyle w:val="20"/>
        <w:tblW w:w="500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5" w:hRule="atLeast"/>
        </w:trPr>
        <w:tc>
          <w:tcPr>
            <w:tcW w:w="5000" w:type="pct"/>
          </w:tcPr>
          <w:p>
            <w:pPr>
              <w:pStyle w:val="34"/>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调查结论及建议</w:t>
            </w:r>
          </w:p>
          <w:p>
            <w:pPr>
              <w:pStyle w:val="3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一、结论</w:t>
            </w:r>
          </w:p>
          <w:p>
            <w:pPr>
              <w:pStyle w:val="34"/>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1、项目概况</w:t>
            </w:r>
          </w:p>
          <w:p>
            <w:pPr>
              <w:pStyle w:val="34"/>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本项目为</w:t>
            </w:r>
            <w:r>
              <w:rPr>
                <w:rFonts w:hint="default" w:ascii="Times New Roman" w:hAnsi="Times New Roman" w:eastAsia="宋体" w:cs="Times New Roman"/>
                <w:b w:val="0"/>
                <w:color w:val="auto"/>
                <w:sz w:val="24"/>
                <w:szCs w:val="24"/>
                <w:lang w:eastAsia="zh-CN"/>
              </w:rPr>
              <w:t>东津河石口至沙埠段河道治理工程，</w:t>
            </w:r>
            <w:r>
              <w:rPr>
                <w:rFonts w:hint="default" w:ascii="Times New Roman" w:hAnsi="Times New Roman" w:eastAsia="宋体" w:cs="Times New Roman"/>
                <w:b w:val="0"/>
                <w:color w:val="auto"/>
                <w:sz w:val="24"/>
                <w:szCs w:val="24"/>
                <w:lang w:val="en-US" w:eastAsia="zh-CN"/>
              </w:rPr>
              <w:t>项目位于</w:t>
            </w:r>
            <w:r>
              <w:rPr>
                <w:rFonts w:hint="default" w:ascii="Times New Roman" w:hAnsi="Times New Roman" w:eastAsia="宋体" w:cs="Times New Roman"/>
                <w:color w:val="auto"/>
                <w:sz w:val="24"/>
                <w:szCs w:val="24"/>
                <w:lang w:val="en-US" w:eastAsia="zh-CN"/>
              </w:rPr>
              <w:t>宁国市中溪镇，起点为石口孚石坝（桩号17+900），终点为红桥村下游（桩号25+000）。</w:t>
            </w:r>
          </w:p>
          <w:p>
            <w:pPr>
              <w:pStyle w:val="34"/>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集镇防洪工程：中溪集镇段（桩号18+456-20+283）河段左、右岸布置</w:t>
            </w:r>
            <w:r>
              <w:rPr>
                <w:rFonts w:hint="eastAsia" w:ascii="Times New Roman" w:hAnsi="Times New Roman" w:eastAsia="宋体" w:cs="Times New Roman"/>
                <w:sz w:val="24"/>
                <w:szCs w:val="24"/>
                <w:lang w:val="en-US" w:eastAsia="zh-CN"/>
              </w:rPr>
              <w:t>堤</w:t>
            </w:r>
            <w:r>
              <w:rPr>
                <w:rFonts w:hint="default" w:ascii="Times New Roman" w:hAnsi="Times New Roman" w:eastAsia="宋体" w:cs="Times New Roman"/>
                <w:sz w:val="24"/>
                <w:szCs w:val="24"/>
                <w:lang w:val="en-US" w:eastAsia="zh-CN"/>
              </w:rPr>
              <w:t>防工程，堤线沿现状岸坎布置，不改变原河道宽度，堤防型式采用生态砌块+生态连锁块，新建堤防3741m</w:t>
            </w:r>
            <w:r>
              <w:rPr>
                <w:rFonts w:hint="eastAsia" w:ascii="Times New Roman" w:hAnsi="Times New Roman" w:eastAsia="宋体" w:cs="Times New Roman"/>
                <w:sz w:val="24"/>
                <w:szCs w:val="24"/>
                <w:lang w:val="en-US" w:eastAsia="zh-CN"/>
              </w:rPr>
              <w:t>。</w:t>
            </w:r>
          </w:p>
          <w:p>
            <w:pPr>
              <w:pStyle w:val="34"/>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lang w:val="en-US" w:eastAsia="zh-CN"/>
              </w:rPr>
              <w:t>岸坡防护工程：青山段左岸新建重力式挡墙343m，红桥段右岸新建重力式挡墙117m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34"/>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河道疏浚工程：河道清淤工程位于石口村上游段（ZX0+000~20+780）、石口村段（21+630~22+100），其中石口村上游段470m，石口村段470m。</w:t>
            </w:r>
          </w:p>
          <w:p>
            <w:pPr>
              <w:pStyle w:val="34"/>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2、环境质量现状评价结论</w:t>
            </w:r>
          </w:p>
          <w:p>
            <w:pPr>
              <w:pStyle w:val="34"/>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地表水：由检测结果可以得出：项目所在区域地表水断面水质满足</w:t>
            </w:r>
            <w:r>
              <w:rPr>
                <w:rFonts w:hint="default" w:ascii="Times New Roman" w:hAnsi="Times New Roman" w:cs="Times New Roman" w:eastAsiaTheme="minorEastAsia"/>
                <w:color w:val="000000" w:themeColor="text1"/>
                <w:sz w:val="24"/>
                <w:szCs w:val="24"/>
                <w14:textFill>
                  <w14:solidFill>
                    <w14:schemeClr w14:val="tx1"/>
                  </w14:solidFill>
                </w14:textFill>
              </w:rPr>
              <w:t>《地表水环境质量标准》（GB3838-2002）中</w:t>
            </w:r>
            <w:r>
              <w:rPr>
                <w:rFonts w:hint="default" w:ascii="Times New Roman" w:hAnsi="Times New Roman" w:cs="Times New Roman" w:eastAsiaTheme="minorEastAsia"/>
                <w:bCs/>
                <w:color w:val="000000" w:themeColor="text1"/>
                <w:sz w:val="24"/>
                <w:szCs w:val="24"/>
                <w14:textFill>
                  <w14:solidFill>
                    <w14:schemeClr w14:val="tx1"/>
                  </w14:solidFill>
                </w14:textFill>
              </w:rPr>
              <w:fldChar w:fldCharType="begin"/>
            </w:r>
            <w:r>
              <w:rPr>
                <w:rFonts w:hint="default" w:ascii="Times New Roman" w:hAnsi="Times New Roman" w:cs="Times New Roman" w:eastAsiaTheme="minorEastAsia"/>
                <w:bCs/>
                <w:color w:val="000000" w:themeColor="text1"/>
                <w:sz w:val="24"/>
                <w:szCs w:val="24"/>
                <w14:textFill>
                  <w14:solidFill>
                    <w14:schemeClr w14:val="tx1"/>
                  </w14:solidFill>
                </w14:textFill>
              </w:rPr>
              <w:instrText xml:space="preserve"> = 3 \* ROMAN \* MERGEFORMAT </w:instrText>
            </w:r>
            <w:r>
              <w:rPr>
                <w:rFonts w:hint="default" w:ascii="Times New Roman" w:hAnsi="Times New Roman" w:cs="Times New Roman" w:eastAsiaTheme="minorEastAsia"/>
                <w:bCs/>
                <w:color w:val="000000" w:themeColor="text1"/>
                <w:sz w:val="24"/>
                <w:szCs w:val="24"/>
                <w14:textFill>
                  <w14:solidFill>
                    <w14:schemeClr w14:val="tx1"/>
                  </w14:solidFill>
                </w14:textFill>
              </w:rPr>
              <w:fldChar w:fldCharType="separate"/>
            </w:r>
            <w:r>
              <w:rPr>
                <w:rFonts w:hint="default" w:ascii="Times New Roman" w:hAnsi="Times New Roman" w:cs="Times New Roman" w:eastAsiaTheme="minorEastAsia"/>
                <w:bCs/>
                <w:color w:val="000000" w:themeColor="text1"/>
                <w:sz w:val="24"/>
                <w:szCs w:val="24"/>
                <w14:textFill>
                  <w14:solidFill>
                    <w14:schemeClr w14:val="tx1"/>
                  </w14:solidFill>
                </w14:textFill>
              </w:rPr>
              <w:t>II</w:t>
            </w:r>
            <w:r>
              <w:rPr>
                <w:rFonts w:hint="default" w:ascii="Times New Roman" w:hAnsi="Times New Roman" w:cs="Times New Roman" w:eastAsiaTheme="minorEastAsia"/>
                <w:bCs/>
                <w:color w:val="000000" w:themeColor="text1"/>
                <w:sz w:val="24"/>
                <w:szCs w:val="24"/>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14:textFill>
                  <w14:solidFill>
                    <w14:schemeClr w14:val="tx1"/>
                  </w14:solidFill>
                </w14:textFill>
              </w:rPr>
              <w:t>类标准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要求。</w:t>
            </w:r>
          </w:p>
          <w:p>
            <w:pPr>
              <w:pStyle w:val="34"/>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环境空气：施工期做好各项环保措施，运营期没有对环境空气质量产生影响。</w:t>
            </w:r>
          </w:p>
          <w:p>
            <w:pPr>
              <w:pStyle w:val="34"/>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声环境：项目运营后，未增加环境噪声的影</w:t>
            </w:r>
            <w:r>
              <w:rPr>
                <w:rFonts w:hint="default" w:ascii="Times New Roman" w:hAnsi="Times New Roman" w:eastAsia="宋体" w:cs="Times New Roman"/>
                <w:sz w:val="24"/>
                <w:szCs w:val="24"/>
                <w:lang w:val="en-US" w:eastAsia="zh-CN"/>
              </w:rPr>
              <w:t>响。经现状检测数据可以看出，项目所在地区域环境噪声满足《声环境质量标准》（GB3096-2008）中</w:t>
            </w:r>
            <w:r>
              <w:rPr>
                <w:rFonts w:hint="default" w:ascii="Times New Roman" w:hAnsi="Times New Roman" w:cs="Times New Roman" w:eastAsiaTheme="minorEastAsia"/>
                <w:color w:val="000000" w:themeColor="text1"/>
                <w:sz w:val="24"/>
                <w:szCs w:val="24"/>
                <w14:textFill>
                  <w14:solidFill>
                    <w14:schemeClr w14:val="tx1"/>
                  </w14:solidFill>
                </w14:textFill>
              </w:rPr>
              <w:t>Ⅰ类标准</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pacing w:val="0"/>
                <w:w w:val="100"/>
                <w:position w:val="0"/>
                <w:sz w:val="24"/>
                <w:szCs w:val="24"/>
                <w:lang w:val="en-US"/>
              </w:rPr>
            </w:pPr>
            <w:r>
              <w:rPr>
                <w:rFonts w:hint="default" w:ascii="Times New Roman" w:hAnsi="Times New Roman" w:eastAsia="宋体" w:cs="Times New Roman"/>
                <w:sz w:val="24"/>
                <w:szCs w:val="24"/>
                <w:lang w:val="en-US" w:eastAsia="zh-CN"/>
              </w:rPr>
              <w:t>生态环境：</w:t>
            </w:r>
            <w:r>
              <w:rPr>
                <w:rFonts w:hint="default" w:ascii="Times New Roman" w:hAnsi="Times New Roman" w:eastAsia="宋体" w:cs="Times New Roman"/>
                <w:color w:val="auto"/>
                <w:sz w:val="24"/>
                <w:lang w:val="en-US" w:eastAsia="zh-CN"/>
              </w:rPr>
              <w:t>项目周边区域没有生态严控区域、饮用水源保护区、生态公益林、森林公园、湿地公园等生态环境敏感点，主要保护目标为项目建成运营后周边的生态环境质量维持现有水平。项目运营后</w:t>
            </w:r>
            <w:r>
              <w:rPr>
                <w:rFonts w:hint="default" w:ascii="Times New Roman" w:hAnsi="Times New Roman" w:eastAsia="宋体" w:cs="Times New Roman"/>
                <w:color w:val="000000"/>
                <w:spacing w:val="0"/>
                <w:w w:val="100"/>
                <w:kern w:val="0"/>
                <w:position w:val="0"/>
                <w:sz w:val="24"/>
                <w:szCs w:val="24"/>
                <w:lang w:val="en-US" w:eastAsia="zh-CN" w:bidi="ar"/>
              </w:rPr>
              <w:t>保持原有流水生境，底栖动物生物量总体保持原有水平。</w:t>
            </w:r>
            <w:r>
              <w:rPr>
                <w:rFonts w:hint="default" w:ascii="Times New Roman" w:hAnsi="Times New Roman" w:eastAsia="宋体" w:cs="Times New Roman"/>
                <w:color w:val="000000"/>
                <w:spacing w:val="0"/>
                <w:w w:val="100"/>
                <w:position w:val="0"/>
                <w:sz w:val="24"/>
                <w:szCs w:val="24"/>
                <w:lang w:val="en-US" w:eastAsia="zh-CN"/>
              </w:rPr>
              <w:t>施工结束后已及时对占地区进行植被恢复和耕地复垦，生态环境保持较好。</w:t>
            </w:r>
          </w:p>
          <w:p>
            <w:pPr>
              <w:pStyle w:val="34"/>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3、环境影响分析结论</w:t>
            </w:r>
          </w:p>
          <w:p>
            <w:pPr>
              <w:pStyle w:val="34"/>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期将产生噪声、扬尘、建筑垃圾和生活垃圾等，由于施工期时间有限，影响范围为局部污染，施工单位在施工期重点加强了管理，对扬尘、噪声采取了有效的措施，建筑垃圾和生活垃圾按照规定进行处理，施工产生的弃土得到了及时的清运，施工期间未对环境造成影响。</w:t>
            </w:r>
          </w:p>
          <w:p>
            <w:pPr>
              <w:pStyle w:val="3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二、建议</w:t>
            </w:r>
          </w:p>
          <w:p>
            <w:pPr>
              <w:pStyle w:val="3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根据环境保护工程设计以及现场调查的工程建设情况，本次验收调查提出的建议如下：</w:t>
            </w:r>
          </w:p>
          <w:p>
            <w:pPr>
              <w:pStyle w:val="34"/>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1.进一步搞好</w:t>
            </w:r>
            <w:r>
              <w:rPr>
                <w:rFonts w:hint="default" w:ascii="Times New Roman" w:hAnsi="Times New Roman" w:eastAsia="宋体" w:cs="Times New Roman"/>
                <w:sz w:val="24"/>
                <w:szCs w:val="24"/>
                <w:lang w:val="en-US" w:eastAsia="zh-CN"/>
              </w:rPr>
              <w:t>岸坡</w:t>
            </w:r>
            <w:r>
              <w:rPr>
                <w:rFonts w:hint="default" w:ascii="Times New Roman" w:hAnsi="Times New Roman" w:eastAsia="宋体" w:cs="Times New Roman"/>
                <w:sz w:val="24"/>
                <w:szCs w:val="24"/>
              </w:rPr>
              <w:t>两侧绿化工作，</w:t>
            </w:r>
            <w:r>
              <w:rPr>
                <w:rFonts w:hint="default" w:ascii="Times New Roman" w:hAnsi="Times New Roman" w:eastAsia="宋体" w:cs="Times New Roman"/>
                <w:sz w:val="24"/>
                <w:szCs w:val="24"/>
                <w:lang w:val="en-US" w:eastAsia="zh-CN"/>
              </w:rPr>
              <w:t>加强堤防及岸坡的维护和保养。</w:t>
            </w:r>
          </w:p>
          <w:p>
            <w:pPr>
              <w:pStyle w:val="34"/>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加强环保设施的维护和管理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严防环境污染事件发生。</w:t>
            </w:r>
          </w:p>
          <w:p>
            <w:pPr>
              <w:pStyle w:val="34"/>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加强沿岸周边的环境保护宣传工作，提高</w:t>
            </w:r>
            <w:r>
              <w:rPr>
                <w:rFonts w:hint="eastAsia" w:ascii="Times New Roman" w:hAnsi="Times New Roman" w:eastAsia="宋体" w:cs="Times New Roman"/>
                <w:sz w:val="24"/>
                <w:szCs w:val="24"/>
                <w:lang w:val="en-US" w:eastAsia="zh-CN"/>
              </w:rPr>
              <w:t>人民群众</w:t>
            </w:r>
            <w:r>
              <w:rPr>
                <w:rFonts w:hint="default" w:ascii="Times New Roman" w:hAnsi="Times New Roman" w:eastAsia="宋体" w:cs="Times New Roman"/>
                <w:sz w:val="24"/>
                <w:szCs w:val="24"/>
                <w:lang w:val="en-US" w:eastAsia="zh-CN"/>
              </w:rPr>
              <w:t>的环境保护意识。</w:t>
            </w:r>
          </w:p>
        </w:tc>
      </w:tr>
    </w:tbl>
    <w:p>
      <w:pPr>
        <w:rPr>
          <w:rFonts w:hint="default" w:ascii="Times New Roman" w:hAnsi="Times New Roman" w:eastAsia="宋体" w:cs="Times New Roma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18</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6"/>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18</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8B38E"/>
    <w:multiLevelType w:val="singleLevel"/>
    <w:tmpl w:val="8638B38E"/>
    <w:lvl w:ilvl="0" w:tentative="0">
      <w:start w:val="1"/>
      <w:numFmt w:val="decimal"/>
      <w:suff w:val="nothing"/>
      <w:lvlText w:val="%1、"/>
      <w:lvlJc w:val="left"/>
    </w:lvl>
  </w:abstractNum>
  <w:abstractNum w:abstractNumId="1">
    <w:nsid w:val="C29BD062"/>
    <w:multiLevelType w:val="singleLevel"/>
    <w:tmpl w:val="C29BD062"/>
    <w:lvl w:ilvl="0" w:tentative="0">
      <w:start w:val="1"/>
      <w:numFmt w:val="decimal"/>
      <w:suff w:val="nothing"/>
      <w:lvlText w:val="%1、"/>
      <w:lvlJc w:val="left"/>
    </w:lvl>
  </w:abstractNum>
  <w:abstractNum w:abstractNumId="2">
    <w:nsid w:val="C701ACA5"/>
    <w:multiLevelType w:val="multilevel"/>
    <w:tmpl w:val="C701ACA5"/>
    <w:lvl w:ilvl="0" w:tentative="0">
      <w:start w:val="1"/>
      <w:numFmt w:val="decimal"/>
      <w:lvlText w:val="%1"/>
      <w:lvlJc w:val="left"/>
      <w:pPr>
        <w:tabs>
          <w:tab w:val="left" w:pos="432"/>
        </w:tabs>
        <w:ind w:left="432" w:hanging="432"/>
      </w:pPr>
      <w:rPr>
        <w:rFonts w:hint="default" w:ascii="Times New Roman" w:hAnsi="Times New Roman" w:eastAsia="仿宋_GB2312" w:cs="Times New Roman"/>
      </w:rPr>
    </w:lvl>
    <w:lvl w:ilvl="1" w:tentative="0">
      <w:start w:val="1"/>
      <w:numFmt w:val="decimal"/>
      <w:lvlText w:val="%1.%2"/>
      <w:lvlJc w:val="left"/>
      <w:pPr>
        <w:tabs>
          <w:tab w:val="left" w:pos="720"/>
        </w:tabs>
        <w:ind w:left="397" w:hanging="397"/>
      </w:pPr>
      <w:rPr>
        <w:rFonts w:hint="eastAsia" w:eastAsia="仿宋_GB2312"/>
      </w:rPr>
    </w:lvl>
    <w:lvl w:ilvl="2" w:tentative="0">
      <w:start w:val="1"/>
      <w:numFmt w:val="decimal"/>
      <w:lvlText w:val="%1.%2.%3"/>
      <w:lvlJc w:val="left"/>
      <w:pPr>
        <w:tabs>
          <w:tab w:val="left" w:pos="142"/>
        </w:tabs>
        <w:ind w:left="142" w:firstLine="0"/>
      </w:pPr>
      <w:rPr>
        <w:rFonts w:hint="default" w:ascii="Times New Roman" w:hAnsi="Times New Roman" w:eastAsia="宋体" w:cs="Times New Roman"/>
        <w:b/>
        <w:i w:val="0"/>
        <w:sz w:val="24"/>
        <w:szCs w:val="24"/>
      </w:rPr>
    </w:lvl>
    <w:lvl w:ilvl="3" w:tentative="0">
      <w:start w:val="1"/>
      <w:numFmt w:val="decimal"/>
      <w:pStyle w:val="2"/>
      <w:lvlText w:val="%1.%2.%3.%4"/>
      <w:lvlJc w:val="left"/>
      <w:pPr>
        <w:tabs>
          <w:tab w:val="left" w:pos="1560"/>
        </w:tabs>
        <w:ind w:left="1560" w:firstLine="0"/>
      </w:pPr>
      <w:rPr>
        <w:rFonts w:hint="default" w:ascii="Times New Roman" w:hAnsi="Times New Roman" w:eastAsia="宋体" w:cs="Times New Roman"/>
        <w:b/>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FE96F79D"/>
    <w:multiLevelType w:val="singleLevel"/>
    <w:tmpl w:val="FE96F79D"/>
    <w:lvl w:ilvl="0" w:tentative="0">
      <w:start w:val="1"/>
      <w:numFmt w:val="decimal"/>
      <w:suff w:val="nothing"/>
      <w:lvlText w:val="%1、"/>
      <w:lvlJc w:val="left"/>
      <w:pPr>
        <w:ind w:left="-60"/>
      </w:pPr>
    </w:lvl>
  </w:abstractNum>
  <w:abstractNum w:abstractNumId="4">
    <w:nsid w:val="30642371"/>
    <w:multiLevelType w:val="multilevel"/>
    <w:tmpl w:val="30642371"/>
    <w:lvl w:ilvl="0" w:tentative="0">
      <w:start w:val="1"/>
      <w:numFmt w:val="decimal"/>
      <w:suff w:val="space"/>
      <w:lvlText w:val="%1"/>
      <w:lvlJc w:val="left"/>
      <w:pPr>
        <w:ind w:left="6380" w:hanging="425"/>
      </w:pPr>
      <w:rPr>
        <w:rFonts w:hint="eastAsia"/>
        <w:b w:val="0"/>
        <w:bCs w:val="0"/>
        <w:i w:val="0"/>
        <w:iCs w:val="0"/>
        <w:caps w:val="0"/>
        <w:smallCaps w:val="0"/>
        <w:strike w:val="0"/>
        <w:dstrike w:val="0"/>
        <w:vanish w:val="0"/>
        <w:color w:val="000000"/>
        <w:spacing w:val="0"/>
        <w:kern w:val="0"/>
        <w:position w:val="0"/>
        <w:u w:val="none"/>
        <w:vertAlign w:val="baseline"/>
      </w:rPr>
    </w:lvl>
    <w:lvl w:ilvl="1" w:tentative="0">
      <w:start w:val="1"/>
      <w:numFmt w:val="decimal"/>
      <w:suff w:val="space"/>
      <w:lvlText w:val="%1.%2"/>
      <w:lvlJc w:val="left"/>
      <w:pPr>
        <w:ind w:left="709" w:hanging="425"/>
      </w:pPr>
      <w:rPr>
        <w:rFonts w:hint="eastAsia"/>
        <w:b w:val="0"/>
        <w:bCs w:val="0"/>
        <w:i w:val="0"/>
        <w:iCs w:val="0"/>
        <w:caps w:val="0"/>
        <w:smallCaps w:val="0"/>
        <w:strike w:val="0"/>
        <w:dstrike w:val="0"/>
        <w:vanish w:val="0"/>
        <w:spacing w:val="0"/>
        <w:position w:val="0"/>
        <w:u w:val="none"/>
        <w:vertAlign w:val="baseline"/>
      </w:rPr>
    </w:lvl>
    <w:lvl w:ilvl="2" w:tentative="0">
      <w:start w:val="1"/>
      <w:numFmt w:val="decimal"/>
      <w:pStyle w:val="6"/>
      <w:suff w:val="space"/>
      <w:lvlText w:val="%1.%2.%3"/>
      <w:lvlJc w:val="left"/>
      <w:pPr>
        <w:ind w:left="425"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lang w:val="en-US"/>
      </w:rPr>
    </w:lvl>
    <w:lvl w:ilvl="3" w:tentative="0">
      <w:start w:val="1"/>
      <w:numFmt w:val="decimal"/>
      <w:suff w:val="space"/>
      <w:lvlText w:val="%1.%2.%3.%4"/>
      <w:lvlJc w:val="left"/>
      <w:pPr>
        <w:ind w:left="1560"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lvlText w:val="%5、"/>
      <w:lvlJc w:val="left"/>
      <w:pPr>
        <w:ind w:left="0" w:firstLine="425"/>
      </w:pPr>
      <w:rPr>
        <w:rFonts w:hint="default"/>
      </w:rPr>
    </w:lvl>
    <w:lvl w:ilvl="5" w:tentative="0">
      <w:start w:val="1"/>
      <w:numFmt w:val="decimal"/>
      <w:lvlText w:val="（%6）"/>
      <w:lvlJc w:val="left"/>
      <w:pPr>
        <w:ind w:left="0" w:firstLine="425"/>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OWM1MmViMmFhNDk3NjM1YzAzM2M2ZGJhN2ZmNTUifQ=="/>
  </w:docVars>
  <w:rsids>
    <w:rsidRoot w:val="333065D7"/>
    <w:rsid w:val="000703D2"/>
    <w:rsid w:val="00200035"/>
    <w:rsid w:val="0076136E"/>
    <w:rsid w:val="00AB5321"/>
    <w:rsid w:val="01BF1880"/>
    <w:rsid w:val="02916C08"/>
    <w:rsid w:val="035B21B4"/>
    <w:rsid w:val="03AE6648"/>
    <w:rsid w:val="065701BE"/>
    <w:rsid w:val="06B63892"/>
    <w:rsid w:val="06DB6AA4"/>
    <w:rsid w:val="07D03561"/>
    <w:rsid w:val="08A019E9"/>
    <w:rsid w:val="08C5094B"/>
    <w:rsid w:val="09A555A6"/>
    <w:rsid w:val="0A0059CC"/>
    <w:rsid w:val="0A66516D"/>
    <w:rsid w:val="0B1F52DD"/>
    <w:rsid w:val="0CFD4F43"/>
    <w:rsid w:val="0FB90649"/>
    <w:rsid w:val="0FD46562"/>
    <w:rsid w:val="10395D49"/>
    <w:rsid w:val="10B76FC3"/>
    <w:rsid w:val="10E50C09"/>
    <w:rsid w:val="126B0F96"/>
    <w:rsid w:val="128F7CF7"/>
    <w:rsid w:val="12CE6305"/>
    <w:rsid w:val="13954023"/>
    <w:rsid w:val="13B60BB6"/>
    <w:rsid w:val="13E422CC"/>
    <w:rsid w:val="14AD5D0A"/>
    <w:rsid w:val="14CE7F13"/>
    <w:rsid w:val="15255370"/>
    <w:rsid w:val="15427E84"/>
    <w:rsid w:val="155961B3"/>
    <w:rsid w:val="16552F35"/>
    <w:rsid w:val="16847351"/>
    <w:rsid w:val="171C712B"/>
    <w:rsid w:val="17C203F8"/>
    <w:rsid w:val="1811368A"/>
    <w:rsid w:val="183E0883"/>
    <w:rsid w:val="191C73D1"/>
    <w:rsid w:val="19B536D7"/>
    <w:rsid w:val="19B9127D"/>
    <w:rsid w:val="1A2A702A"/>
    <w:rsid w:val="1A350894"/>
    <w:rsid w:val="1B343A59"/>
    <w:rsid w:val="1C043E76"/>
    <w:rsid w:val="1DF62C7F"/>
    <w:rsid w:val="1EE7182A"/>
    <w:rsid w:val="20170E37"/>
    <w:rsid w:val="203B2C39"/>
    <w:rsid w:val="203E7953"/>
    <w:rsid w:val="21781160"/>
    <w:rsid w:val="21C7494B"/>
    <w:rsid w:val="21DF1FAB"/>
    <w:rsid w:val="22BA532D"/>
    <w:rsid w:val="232F7C30"/>
    <w:rsid w:val="233F569A"/>
    <w:rsid w:val="23444E4D"/>
    <w:rsid w:val="24325AC5"/>
    <w:rsid w:val="245450E4"/>
    <w:rsid w:val="26015E50"/>
    <w:rsid w:val="268838D8"/>
    <w:rsid w:val="26983C81"/>
    <w:rsid w:val="27320123"/>
    <w:rsid w:val="282D0A3C"/>
    <w:rsid w:val="2A276670"/>
    <w:rsid w:val="2AAC7C57"/>
    <w:rsid w:val="2BCD3F80"/>
    <w:rsid w:val="2C584B4A"/>
    <w:rsid w:val="2CBA6482"/>
    <w:rsid w:val="2E440114"/>
    <w:rsid w:val="2E95797D"/>
    <w:rsid w:val="2EF9038A"/>
    <w:rsid w:val="2F0B779C"/>
    <w:rsid w:val="2F2C6F70"/>
    <w:rsid w:val="30921419"/>
    <w:rsid w:val="30BD498E"/>
    <w:rsid w:val="310137E3"/>
    <w:rsid w:val="31A71424"/>
    <w:rsid w:val="33000D3B"/>
    <w:rsid w:val="333065D7"/>
    <w:rsid w:val="33E009FA"/>
    <w:rsid w:val="33FE5B8D"/>
    <w:rsid w:val="34503B71"/>
    <w:rsid w:val="34AD7E58"/>
    <w:rsid w:val="34D04DBC"/>
    <w:rsid w:val="35202CD4"/>
    <w:rsid w:val="354B1BAE"/>
    <w:rsid w:val="356C6A27"/>
    <w:rsid w:val="35A36887"/>
    <w:rsid w:val="36966A83"/>
    <w:rsid w:val="380575C5"/>
    <w:rsid w:val="39F262A5"/>
    <w:rsid w:val="3B19799D"/>
    <w:rsid w:val="3BC516A7"/>
    <w:rsid w:val="3C9165DA"/>
    <w:rsid w:val="3E89128C"/>
    <w:rsid w:val="3EC04424"/>
    <w:rsid w:val="3ED7682C"/>
    <w:rsid w:val="40735089"/>
    <w:rsid w:val="40B47CA5"/>
    <w:rsid w:val="41FB2309"/>
    <w:rsid w:val="424D2A10"/>
    <w:rsid w:val="42656CB3"/>
    <w:rsid w:val="42752FCF"/>
    <w:rsid w:val="43234A7B"/>
    <w:rsid w:val="43625485"/>
    <w:rsid w:val="448F4839"/>
    <w:rsid w:val="45F00217"/>
    <w:rsid w:val="472B1AFD"/>
    <w:rsid w:val="472D2C05"/>
    <w:rsid w:val="48AA4D31"/>
    <w:rsid w:val="49286269"/>
    <w:rsid w:val="4AC56B97"/>
    <w:rsid w:val="4AD63C98"/>
    <w:rsid w:val="4B196DB9"/>
    <w:rsid w:val="4B8C1C9D"/>
    <w:rsid w:val="4B9A6621"/>
    <w:rsid w:val="4C053A4A"/>
    <w:rsid w:val="4D077B5C"/>
    <w:rsid w:val="4D911437"/>
    <w:rsid w:val="4EBC38BB"/>
    <w:rsid w:val="4EFD1B6D"/>
    <w:rsid w:val="4F5729CC"/>
    <w:rsid w:val="515921EC"/>
    <w:rsid w:val="51B80161"/>
    <w:rsid w:val="52A50C1A"/>
    <w:rsid w:val="52DD3C64"/>
    <w:rsid w:val="533F246A"/>
    <w:rsid w:val="53686628"/>
    <w:rsid w:val="53852286"/>
    <w:rsid w:val="53962412"/>
    <w:rsid w:val="542720D3"/>
    <w:rsid w:val="54E01BA0"/>
    <w:rsid w:val="56626E82"/>
    <w:rsid w:val="56FC688F"/>
    <w:rsid w:val="578031D9"/>
    <w:rsid w:val="578E036F"/>
    <w:rsid w:val="57BF6B0F"/>
    <w:rsid w:val="582865C2"/>
    <w:rsid w:val="58E22193"/>
    <w:rsid w:val="58EA44F8"/>
    <w:rsid w:val="59E66B56"/>
    <w:rsid w:val="5A865236"/>
    <w:rsid w:val="5C0E1E94"/>
    <w:rsid w:val="5E331E30"/>
    <w:rsid w:val="5EC52E10"/>
    <w:rsid w:val="5EF229D7"/>
    <w:rsid w:val="5F6F43B9"/>
    <w:rsid w:val="5FCF00E1"/>
    <w:rsid w:val="63240590"/>
    <w:rsid w:val="63AD4C0B"/>
    <w:rsid w:val="645E5985"/>
    <w:rsid w:val="65C9346D"/>
    <w:rsid w:val="66843105"/>
    <w:rsid w:val="673F39D9"/>
    <w:rsid w:val="674C5034"/>
    <w:rsid w:val="68360B0F"/>
    <w:rsid w:val="6956568C"/>
    <w:rsid w:val="696C4642"/>
    <w:rsid w:val="6987202F"/>
    <w:rsid w:val="6A1C2B9A"/>
    <w:rsid w:val="6B597470"/>
    <w:rsid w:val="6C932F1B"/>
    <w:rsid w:val="6E382E79"/>
    <w:rsid w:val="6F64580A"/>
    <w:rsid w:val="6FBE7BC7"/>
    <w:rsid w:val="702F7D10"/>
    <w:rsid w:val="70565322"/>
    <w:rsid w:val="71EF6408"/>
    <w:rsid w:val="723750D7"/>
    <w:rsid w:val="734C008A"/>
    <w:rsid w:val="76F77D9E"/>
    <w:rsid w:val="77C70862"/>
    <w:rsid w:val="798C3161"/>
    <w:rsid w:val="79E41841"/>
    <w:rsid w:val="7BE21088"/>
    <w:rsid w:val="7C5F6C18"/>
    <w:rsid w:val="7C675098"/>
    <w:rsid w:val="7D317E4F"/>
    <w:rsid w:val="7D791679"/>
    <w:rsid w:val="7D812183"/>
    <w:rsid w:val="7E033BC0"/>
    <w:rsid w:val="7E2257F4"/>
    <w:rsid w:val="7E5942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4"/>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3"/>
    <w:next w:val="1"/>
    <w:qFormat/>
    <w:uiPriority w:val="0"/>
    <w:pPr>
      <w:keepNext/>
      <w:keepLines/>
      <w:spacing w:line="360" w:lineRule="exact"/>
      <w:outlineLvl w:val="1"/>
    </w:pPr>
    <w:rPr>
      <w:rFonts w:ascii="Times New Roman" w:hAnsi="Times New Roman" w:eastAsia="宋体" w:cs="Times New Roman"/>
      <w:szCs w:val="32"/>
    </w:rPr>
  </w:style>
  <w:style w:type="paragraph" w:styleId="6">
    <w:name w:val="heading 3"/>
    <w:basedOn w:val="4"/>
    <w:next w:val="1"/>
    <w:qFormat/>
    <w:uiPriority w:val="9"/>
    <w:pPr>
      <w:keepNext/>
      <w:keepLines/>
      <w:widowControl/>
      <w:numPr>
        <w:ilvl w:val="2"/>
        <w:numId w:val="1"/>
      </w:numPr>
      <w:spacing w:line="360" w:lineRule="auto"/>
      <w:jc w:val="left"/>
      <w:outlineLvl w:val="2"/>
    </w:pPr>
    <w:rPr>
      <w:rFonts w:eastAsia="楷体_GB2312"/>
      <w:b/>
      <w:bCs/>
      <w:color w:val="000000"/>
      <w:kern w:val="0"/>
      <w:sz w:val="28"/>
      <w:szCs w:val="28"/>
    </w:rPr>
  </w:style>
  <w:style w:type="paragraph" w:styleId="2">
    <w:name w:val="heading 4"/>
    <w:basedOn w:val="1"/>
    <w:next w:val="1"/>
    <w:qFormat/>
    <w:uiPriority w:val="0"/>
    <w:pPr>
      <w:keepNext/>
      <w:keepLines/>
      <w:numPr>
        <w:ilvl w:val="3"/>
        <w:numId w:val="2"/>
      </w:numPr>
      <w:spacing w:before="280" w:beforeLines="0" w:beforeAutospacing="0" w:after="290" w:afterLines="0" w:afterAutospacing="0" w:line="372" w:lineRule="auto"/>
      <w:ind w:left="1560" w:firstLineChars="0"/>
      <w:outlineLvl w:val="3"/>
    </w:pPr>
    <w:rPr>
      <w:rFonts w:ascii="Arial" w:hAnsi="Arial" w:eastAsia="黑体"/>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1"/>
    <w:pPr>
      <w:ind w:left="2043" w:hanging="602"/>
    </w:pPr>
    <w:rPr>
      <w:rFonts w:ascii="宋体" w:hAnsi="宋体" w:eastAsia="宋体" w:cs="宋体"/>
      <w:lang w:val="zh-CN" w:eastAsia="zh-CN" w:bidi="zh-CN"/>
    </w:rPr>
  </w:style>
  <w:style w:type="paragraph" w:styleId="7">
    <w:name w:val="annotation text"/>
    <w:basedOn w:val="1"/>
    <w:link w:val="39"/>
    <w:semiHidden/>
    <w:qFormat/>
    <w:uiPriority w:val="0"/>
    <w:pPr>
      <w:jc w:val="left"/>
    </w:pPr>
  </w:style>
  <w:style w:type="paragraph" w:styleId="8">
    <w:name w:val="Salutation"/>
    <w:basedOn w:val="1"/>
    <w:next w:val="1"/>
    <w:unhideWhenUsed/>
    <w:qFormat/>
    <w:uiPriority w:val="99"/>
  </w:style>
  <w:style w:type="paragraph" w:styleId="9">
    <w:name w:val="Body Text"/>
    <w:basedOn w:val="1"/>
    <w:next w:val="10"/>
    <w:qFormat/>
    <w:uiPriority w:val="0"/>
    <w:pPr>
      <w:spacing w:after="120"/>
    </w:pPr>
  </w:style>
  <w:style w:type="paragraph" w:styleId="10">
    <w:name w:val="Body Text 2"/>
    <w:basedOn w:val="1"/>
    <w:qFormat/>
    <w:uiPriority w:val="0"/>
    <w:pPr>
      <w:adjustRightInd w:val="0"/>
      <w:snapToGrid w:val="0"/>
      <w:jc w:val="center"/>
    </w:pPr>
    <w:rPr>
      <w:sz w:val="28"/>
    </w:rPr>
  </w:style>
  <w:style w:type="paragraph" w:styleId="11">
    <w:name w:val="Body Text Indent"/>
    <w:basedOn w:val="1"/>
    <w:qFormat/>
    <w:uiPriority w:val="0"/>
    <w:pPr>
      <w:ind w:left="420" w:leftChars="200"/>
    </w:pPr>
  </w:style>
  <w:style w:type="paragraph" w:styleId="12">
    <w:name w:val="Plain Text"/>
    <w:basedOn w:val="1"/>
    <w:qFormat/>
    <w:uiPriority w:val="0"/>
    <w:rPr>
      <w:rFonts w:ascii="宋体" w:hAnsi="Courier New" w:cs="Courier New"/>
      <w:szCs w:val="21"/>
    </w:rPr>
  </w:style>
  <w:style w:type="paragraph" w:styleId="13">
    <w:name w:val="Date"/>
    <w:basedOn w:val="1"/>
    <w:next w:val="1"/>
    <w:qFormat/>
    <w:uiPriority w:val="0"/>
    <w:pPr>
      <w:adjustRightInd w:val="0"/>
      <w:textAlignment w:val="baseline"/>
    </w:pPr>
    <w:rPr>
      <w:rFonts w:eastAsia="宋体"/>
      <w:sz w:val="24"/>
    </w:rPr>
  </w:style>
  <w:style w:type="paragraph" w:styleId="14">
    <w:name w:val="Body Text Indent 2"/>
    <w:basedOn w:val="1"/>
    <w:qFormat/>
    <w:uiPriority w:val="0"/>
    <w:pPr>
      <w:spacing w:line="480" w:lineRule="auto"/>
      <w:ind w:left="420" w:leftChars="200"/>
    </w:pPr>
  </w:style>
  <w:style w:type="paragraph" w:styleId="15">
    <w:name w:val="Balloon Text"/>
    <w:basedOn w:val="1"/>
    <w:link w:val="38"/>
    <w:qFormat/>
    <w:uiPriority w:val="0"/>
    <w:rPr>
      <w:sz w:val="18"/>
      <w:szCs w:val="18"/>
    </w:rPr>
  </w:style>
  <w:style w:type="paragraph" w:styleId="16">
    <w:name w:val="footer"/>
    <w:basedOn w:val="1"/>
    <w:qFormat/>
    <w:uiPriority w:val="0"/>
    <w:pPr>
      <w:tabs>
        <w:tab w:val="center" w:pos="4153"/>
        <w:tab w:val="right" w:pos="8306"/>
      </w:tabs>
    </w:pPr>
    <w:rPr>
      <w:rFonts w:eastAsia="宋体"/>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Normal (Web)"/>
    <w:basedOn w:val="1"/>
    <w:qFormat/>
    <w:uiPriority w:val="0"/>
    <w:pPr>
      <w:widowControl/>
      <w:spacing w:before="100" w:beforeAutospacing="1" w:after="100" w:afterAutospacing="1"/>
      <w:jc w:val="left"/>
    </w:pPr>
    <w:rPr>
      <w:rFonts w:ascii="宋体" w:hAnsi="宋体" w:eastAsia="宋体" w:cs="Times New Roman"/>
      <w:kern w:val="0"/>
      <w:sz w:val="24"/>
    </w:rPr>
  </w:style>
  <w:style w:type="paragraph" w:styleId="19">
    <w:name w:val="annotation subject"/>
    <w:basedOn w:val="7"/>
    <w:next w:val="7"/>
    <w:link w:val="40"/>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annotation reference"/>
    <w:basedOn w:val="22"/>
    <w:qFormat/>
    <w:uiPriority w:val="0"/>
    <w:rPr>
      <w:sz w:val="21"/>
      <w:szCs w:val="21"/>
    </w:rPr>
  </w:style>
  <w:style w:type="paragraph" w:customStyle="1" w:styleId="25">
    <w:name w:val="xl27"/>
    <w:basedOn w:val="1"/>
    <w:next w:val="1"/>
    <w:qFormat/>
    <w:uiPriority w:val="0"/>
    <w:pPr>
      <w:spacing w:before="100" w:beforeAutospacing="1" w:after="100" w:afterAutospacing="1"/>
    </w:pPr>
    <w:rPr>
      <w:color w:val="FF0000"/>
      <w:sz w:val="24"/>
    </w:rPr>
  </w:style>
  <w:style w:type="character" w:customStyle="1" w:styleId="26">
    <w:name w:val="表格标题 Char"/>
    <w:basedOn w:val="22"/>
    <w:qFormat/>
    <w:uiPriority w:val="0"/>
    <w:rPr>
      <w:rFonts w:ascii="Times New Roman" w:hAnsi="Times New Roman" w:eastAsia="宋体" w:cs="宋体"/>
      <w:kern w:val="2"/>
      <w:sz w:val="24"/>
      <w:lang w:bidi="ar-SA"/>
    </w:rPr>
  </w:style>
  <w:style w:type="paragraph" w:customStyle="1" w:styleId="27">
    <w:name w:val="表格内文字"/>
    <w:basedOn w:val="1"/>
    <w:qFormat/>
    <w:uiPriority w:val="0"/>
    <w:pPr>
      <w:tabs>
        <w:tab w:val="left" w:pos="0"/>
      </w:tabs>
      <w:adjustRightInd w:val="0"/>
      <w:snapToGrid w:val="0"/>
      <w:jc w:val="center"/>
    </w:pPr>
    <w:rPr>
      <w:rFonts w:eastAsia="仿宋_GB2312"/>
      <w:sz w:val="24"/>
    </w:rPr>
  </w:style>
  <w:style w:type="paragraph" w:customStyle="1" w:styleId="28">
    <w:name w:val="表格文字"/>
    <w:basedOn w:val="9"/>
    <w:qFormat/>
    <w:uiPriority w:val="0"/>
    <w:pPr>
      <w:spacing w:after="0"/>
      <w:jc w:val="center"/>
    </w:pPr>
    <w:rPr>
      <w:rFonts w:ascii="宋体" w:hAnsi="宋体" w:eastAsia="宋体"/>
      <w:szCs w:val="20"/>
    </w:rPr>
  </w:style>
  <w:style w:type="paragraph" w:customStyle="1" w:styleId="29">
    <w:name w:val="xl22"/>
    <w:basedOn w:val="1"/>
    <w:qFormat/>
    <w:uiPriority w:val="0"/>
    <w:pPr>
      <w:widowControl/>
      <w:jc w:val="center"/>
    </w:pPr>
    <w:rPr>
      <w:rFonts w:eastAsia="宋体"/>
      <w:sz w:val="24"/>
    </w:rPr>
  </w:style>
  <w:style w:type="paragraph" w:customStyle="1" w:styleId="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1">
    <w:name w:val="font11"/>
    <w:basedOn w:val="22"/>
    <w:qFormat/>
    <w:uiPriority w:val="0"/>
    <w:rPr>
      <w:rFonts w:hint="eastAsia" w:ascii="宋体" w:hAnsi="宋体" w:eastAsia="宋体" w:cs="宋体"/>
      <w:color w:val="000000"/>
      <w:sz w:val="20"/>
      <w:szCs w:val="20"/>
      <w:u w:val="none"/>
      <w:vertAlign w:val="superscript"/>
    </w:rPr>
  </w:style>
  <w:style w:type="character" w:customStyle="1" w:styleId="32">
    <w:name w:val="font21"/>
    <w:basedOn w:val="22"/>
    <w:qFormat/>
    <w:uiPriority w:val="0"/>
    <w:rPr>
      <w:rFonts w:hint="eastAsia" w:ascii="宋体" w:hAnsi="宋体" w:eastAsia="宋体" w:cs="宋体"/>
      <w:color w:val="000000"/>
      <w:sz w:val="20"/>
      <w:szCs w:val="20"/>
      <w:u w:val="none"/>
    </w:rPr>
  </w:style>
  <w:style w:type="paragraph" w:customStyle="1" w:styleId="33">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34">
    <w:name w:val="Table Paragraph"/>
    <w:basedOn w:val="1"/>
    <w:qFormat/>
    <w:uiPriority w:val="1"/>
    <w:rPr>
      <w:rFonts w:ascii="Noto Sans Mono CJK JP Bold" w:hAnsi="Noto Sans Mono CJK JP Bold" w:eastAsia="Noto Sans Mono CJK JP Bold" w:cs="Noto Sans Mono CJK JP Bold"/>
    </w:rPr>
  </w:style>
  <w:style w:type="paragraph" w:customStyle="1" w:styleId="35">
    <w:name w:val="段落1"/>
    <w:basedOn w:val="1"/>
    <w:qFormat/>
    <w:uiPriority w:val="0"/>
    <w:pPr>
      <w:spacing w:line="480" w:lineRule="exact"/>
      <w:ind w:firstLine="584" w:firstLineChars="200"/>
    </w:pPr>
    <w:rPr>
      <w:spacing w:val="6"/>
      <w:sz w:val="28"/>
    </w:rPr>
  </w:style>
  <w:style w:type="paragraph" w:customStyle="1" w:styleId="36">
    <w:name w:val="首行缩进"/>
    <w:basedOn w:val="1"/>
    <w:qFormat/>
    <w:uiPriority w:val="0"/>
    <w:pPr>
      <w:spacing w:line="360" w:lineRule="auto"/>
      <w:ind w:firstLine="480" w:firstLineChars="200"/>
    </w:pPr>
    <w:rPr>
      <w:sz w:val="24"/>
    </w:rPr>
  </w:style>
  <w:style w:type="paragraph" w:customStyle="1" w:styleId="37">
    <w:name w:val="正文(首行缩进)"/>
    <w:basedOn w:val="1"/>
    <w:qFormat/>
    <w:uiPriority w:val="0"/>
    <w:pPr>
      <w:spacing w:line="360" w:lineRule="auto"/>
      <w:ind w:firstLine="480" w:firstLineChars="200"/>
    </w:pPr>
    <w:rPr>
      <w:rFonts w:hAnsi="宋体"/>
      <w:sz w:val="24"/>
    </w:rPr>
  </w:style>
  <w:style w:type="character" w:customStyle="1" w:styleId="38">
    <w:name w:val="批注框文本 Char"/>
    <w:basedOn w:val="22"/>
    <w:link w:val="15"/>
    <w:qFormat/>
    <w:uiPriority w:val="0"/>
    <w:rPr>
      <w:kern w:val="2"/>
      <w:sz w:val="18"/>
      <w:szCs w:val="18"/>
    </w:rPr>
  </w:style>
  <w:style w:type="character" w:customStyle="1" w:styleId="39">
    <w:name w:val="批注文字 Char"/>
    <w:basedOn w:val="22"/>
    <w:link w:val="7"/>
    <w:semiHidden/>
    <w:qFormat/>
    <w:uiPriority w:val="0"/>
    <w:rPr>
      <w:kern w:val="2"/>
      <w:sz w:val="21"/>
      <w:szCs w:val="24"/>
    </w:rPr>
  </w:style>
  <w:style w:type="character" w:customStyle="1" w:styleId="40">
    <w:name w:val="批注主题 Char"/>
    <w:basedOn w:val="39"/>
    <w:link w:val="19"/>
    <w:qFormat/>
    <w:uiPriority w:val="0"/>
  </w:style>
  <w:style w:type="paragraph" w:customStyle="1" w:styleId="41">
    <w:name w:val="正文格式"/>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41</Pages>
  <Words>18251</Words>
  <Characters>19835</Characters>
  <Lines>16</Lines>
  <Paragraphs>21</Paragraphs>
  <TotalTime>50</TotalTime>
  <ScaleCrop>false</ScaleCrop>
  <LinksUpToDate>false</LinksUpToDate>
  <CharactersWithSpaces>19966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2021-06-30T05:39:00Z</dcterms:created>
  <dc:creator>·</dc:creator>
  <cp:lastModifiedBy>·</cp:lastModifiedBy>
  <dcterms:modified xsi:type="dcterms:W3CDTF">2022-10-14T05:42:48Z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2A746D4B515347DBA6183768AABDEB96</vt:lpwstr>
  </property>
</Properties>
</file>