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eastAsia="华文新魏" w:cs="Times New Roman"/>
          <w:b/>
          <w:color w:val="000000"/>
          <w:sz w:val="48"/>
          <w:szCs w:val="48"/>
        </w:rPr>
      </w:pPr>
      <w:r>
        <w:rPr>
          <w:rFonts w:hint="default" w:ascii="Times New Roman" w:hAnsi="Times New Roman" w:eastAsia="华文新魏" w:cs="Times New Roman"/>
          <w:b/>
          <w:color w:val="000000"/>
          <w:sz w:val="48"/>
          <w:szCs w:val="48"/>
          <w:lang w:eastAsia="zh-CN"/>
        </w:rPr>
        <w:t>年产4万</w:t>
      </w:r>
      <w:r>
        <w:rPr>
          <w:rFonts w:hint="eastAsia" w:ascii="Times New Roman" w:hAnsi="Times New Roman" w:eastAsia="华文新魏" w:cs="Times New Roman"/>
          <w:b/>
          <w:color w:val="000000"/>
          <w:sz w:val="48"/>
          <w:szCs w:val="48"/>
          <w:lang w:val="en-US" w:eastAsia="zh-CN"/>
        </w:rPr>
        <w:t>t</w:t>
      </w:r>
      <w:r>
        <w:rPr>
          <w:rFonts w:hint="default" w:ascii="Times New Roman" w:hAnsi="Times New Roman" w:eastAsia="华文新魏" w:cs="Times New Roman"/>
          <w:b/>
          <w:color w:val="000000"/>
          <w:sz w:val="48"/>
          <w:szCs w:val="48"/>
          <w:lang w:eastAsia="zh-CN"/>
        </w:rPr>
        <w:t>沥青混凝土拌和站技改项目</w:t>
      </w:r>
    </w:p>
    <w:p>
      <w:pPr>
        <w:jc w:val="center"/>
        <w:rPr>
          <w:rFonts w:hint="default" w:ascii="Times New Roman" w:hAnsi="Times New Roman" w:cs="Times New Roman" w:eastAsiaTheme="minorEastAsia"/>
          <w:b/>
          <w:bCs/>
          <w:sz w:val="48"/>
          <w:szCs w:val="56"/>
          <w:lang w:val="en-US" w:eastAsia="zh-CN"/>
        </w:rPr>
      </w:pPr>
      <w:r>
        <w:rPr>
          <w:rFonts w:hint="default" w:ascii="Times New Roman" w:hAnsi="Times New Roman" w:eastAsia="华文新魏" w:cs="Times New Roman"/>
          <w:b/>
          <w:color w:val="000000"/>
          <w:sz w:val="48"/>
          <w:szCs w:val="48"/>
          <w:lang w:eastAsia="zh-CN"/>
        </w:rPr>
        <w:t>竣工环境保护验收监测报告表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安徽华仁路桥工程有限公司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三</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四</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仇寅生</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eastAsia="zh-CN"/>
        </w:rPr>
        <w:t>李霞</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编制人员：</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1662"/>
        <w:gridCol w:w="2013"/>
        <w:gridCol w:w="878"/>
        <w:gridCol w:w="844"/>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年产4万t沥青混凝土拌和站技改项目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安徽华仁路桥工程有限公司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改</w:t>
            </w:r>
            <w:r>
              <w:rPr>
                <w:rFonts w:hint="default" w:ascii="Times New Roman" w:hAnsi="Times New Roman" w:eastAsia="宋体" w:cs="Times New Roman"/>
                <w:color w:val="000000"/>
                <w:sz w:val="24"/>
                <w:szCs w:val="24"/>
                <w:lang w:val="en-US" w:eastAsia="zh-CN"/>
              </w:rPr>
              <w:t>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ascii="宋体" w:hAnsi="宋体" w:cs="宋体"/>
                <w:sz w:val="24"/>
                <w:szCs w:val="24"/>
              </w:rPr>
              <w:t>安徽省宣城市宁国市</w:t>
            </w:r>
            <w:r>
              <w:rPr>
                <w:rFonts w:hint="eastAsia" w:ascii="宋体" w:hAnsi="宋体" w:cs="宋体"/>
                <w:sz w:val="24"/>
                <w:szCs w:val="24"/>
              </w:rPr>
              <w:t>经济技术开发区宜黄路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rPr>
              <w:t>沥青混凝土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年产4万t沥青混凝土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年产4万t沥青混凝土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安徽师范大学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安徽华仁路桥工程有限公司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安徽华仁路桥工程有限公司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16.7</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16.7</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cs="Times New Roman"/>
                <w:sz w:val="24"/>
                <w:szCs w:val="24"/>
                <w:lang w:eastAsia="zh-CN"/>
              </w:rPr>
              <w:t>安徽华仁路桥工程有限公司年产4万t沥青混凝土拌和站技改项目</w:t>
            </w:r>
            <w:r>
              <w:rPr>
                <w:rFonts w:hint="default" w:ascii="Times New Roman" w:hAnsi="Times New Roman" w:eastAsia="宋体" w:cs="Times New Roman"/>
                <w:color w:val="auto"/>
                <w:sz w:val="24"/>
                <w:szCs w:val="24"/>
                <w:highlight w:val="none"/>
                <w:lang w:val="en-US" w:eastAsia="zh-CN"/>
              </w:rPr>
              <w:t>委托进行竣工环境保护验收的委托书；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安徽师范大学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szCs w:val="24"/>
                <w:lang w:eastAsia="zh-CN"/>
              </w:rPr>
              <w:t>安徽华仁路桥工程有限公司年产4万t沥青混凝土拌和站技改项目</w:t>
            </w:r>
            <w:r>
              <w:rPr>
                <w:rFonts w:hint="default" w:ascii="Times New Roman" w:hAnsi="Times New Roman" w:eastAsia="宋体" w:cs="Times New Roman"/>
                <w:color w:val="auto"/>
                <w:sz w:val="24"/>
                <w:szCs w:val="24"/>
                <w:highlight w:val="none"/>
                <w:lang w:val="en-US" w:eastAsia="zh-CN"/>
              </w:rPr>
              <w:t>环境影响报告表》（20</w:t>
            </w:r>
            <w:r>
              <w:rPr>
                <w:rFonts w:hint="eastAsia" w:ascii="Times New Roman" w:hAnsi="Times New Roman" w:eastAsia="宋体" w:cs="Times New Roman"/>
                <w:color w:val="auto"/>
                <w:sz w:val="24"/>
                <w:szCs w:val="24"/>
                <w:highlight w:val="none"/>
                <w:lang w:val="en-US" w:eastAsia="zh-CN"/>
              </w:rPr>
              <w:t>22年6月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cs="Times New Roman"/>
                <w:sz w:val="24"/>
                <w:szCs w:val="24"/>
                <w:lang w:eastAsia="zh-CN"/>
              </w:rPr>
              <w:t>安徽华仁路桥工程有限公司年产4万t沥青混凝土拌和站技改项目</w:t>
            </w:r>
            <w:r>
              <w:rPr>
                <w:rFonts w:hint="default" w:ascii="Times New Roman" w:hAnsi="Times New Roman" w:eastAsia="宋体" w:cs="Times New Roman"/>
                <w:color w:val="auto"/>
                <w:sz w:val="24"/>
                <w:szCs w:val="24"/>
                <w:highlight w:val="none"/>
                <w:lang w:val="en-US" w:eastAsia="zh-CN"/>
              </w:rPr>
              <w:t>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23]13</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bCs/>
                <w:sz w:val="24"/>
                <w:szCs w:val="24"/>
                <w:lang w:val="en-US"/>
              </w:rPr>
            </w:pPr>
            <w:r>
              <w:rPr>
                <w:rFonts w:hint="default" w:ascii="Times New Roman" w:hAnsi="Times New Roman" w:cs="Times New Roman" w:eastAsiaTheme="minorEastAsia"/>
                <w:sz w:val="24"/>
                <w:szCs w:val="24"/>
              </w:rPr>
              <w:t>本项目锅炉</w:t>
            </w:r>
            <w:r>
              <w:rPr>
                <w:rFonts w:hint="eastAsia" w:ascii="Times New Roman" w:hAnsi="Times New Roman" w:cs="Times New Roman"/>
                <w:sz w:val="24"/>
                <w:szCs w:val="24"/>
                <w:lang w:eastAsia="zh-CN"/>
              </w:rPr>
              <w:t>天然气燃烧</w:t>
            </w:r>
            <w:r>
              <w:rPr>
                <w:rFonts w:hint="default" w:ascii="Times New Roman" w:hAnsi="Times New Roman" w:cs="Times New Roman" w:eastAsiaTheme="minorEastAsia"/>
                <w:sz w:val="24"/>
                <w:szCs w:val="24"/>
              </w:rPr>
              <w:t>产生的颗粒物、二氧化硫排放执行《锅炉大气污染物排放标准》（GB13271</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rPr>
              <w:t>2014）中表3特别排放限值，氮氧化物排放参考安徽省大气办关于印发《安徽省2020年大气污染防治重点工作任务》的通知（皖大气办（2020）2号），具体标准限值见下表</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eastAsia" w:ascii="Times New Roman" w:hAnsi="Times New Roman" w:cs="Times New Roman"/>
                <w:b/>
                <w:bCs/>
                <w:sz w:val="21"/>
                <w:szCs w:val="21"/>
                <w:lang w:val="en-US" w:eastAsia="zh-CN"/>
              </w:rPr>
              <w:t>1 锅炉</w:t>
            </w:r>
            <w:r>
              <w:rPr>
                <w:b/>
                <w:color w:val="auto"/>
                <w:sz w:val="21"/>
                <w:szCs w:val="21"/>
              </w:rPr>
              <w:t>大气污染物排放限值</w:t>
            </w:r>
          </w:p>
          <w:tbl>
            <w:tblPr>
              <w:tblStyle w:val="15"/>
              <w:tblW w:w="4999"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541"/>
              <w:gridCol w:w="3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031" w:type="pct"/>
                  <w:tcBorders>
                    <w:tl2br w:val="nil"/>
                    <w:tr2bl w:val="nil"/>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1213" w:type="pct"/>
                  <w:tcBorders>
                    <w:tl2br w:val="nil"/>
                    <w:tr2bl w:val="nil"/>
                  </w:tcBorders>
                  <w:noWrap w:val="0"/>
                  <w:vAlign w:val="center"/>
                </w:tcPr>
                <w:p>
                  <w:pPr>
                    <w:pStyle w:val="30"/>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2755" w:type="pct"/>
                  <w:tcBorders>
                    <w:tl2br w:val="nil"/>
                    <w:tr2bl w:val="nil"/>
                  </w:tcBorders>
                  <w:noWrap w:val="0"/>
                  <w:vAlign w:val="center"/>
                </w:tcPr>
                <w:p>
                  <w:pPr>
                    <w:pStyle w:val="31"/>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1"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rPr>
                    <w:t>颗粒物</w:t>
                  </w:r>
                </w:p>
              </w:tc>
              <w:tc>
                <w:tcPr>
                  <w:tcW w:w="121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rPr>
                    <w:t>20</w:t>
                  </w:r>
                </w:p>
              </w:tc>
              <w:tc>
                <w:tcPr>
                  <w:tcW w:w="2755" w:type="pct"/>
                  <w:vMerge w:val="restart"/>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rPr>
                  </w:pPr>
                  <w:r>
                    <w:rPr>
                      <w:rFonts w:hint="default" w:ascii="Times New Roman" w:hAnsi="Times New Roman" w:cs="Times New Roman"/>
                    </w:rPr>
                    <w:t>《锅炉大气污染物排放标准》（GB13271</w:t>
                  </w:r>
                  <w:r>
                    <w:rPr>
                      <w:rFonts w:hint="default" w:ascii="Times New Roman" w:hAnsi="Times New Roman" w:cs="Times New Roman"/>
                      <w:lang w:val="en-US" w:eastAsia="zh-CN"/>
                    </w:rPr>
                    <w:t>-</w:t>
                  </w:r>
                  <w:r>
                    <w:rPr>
                      <w:rFonts w:hint="default" w:ascii="Times New Roman" w:hAnsi="Times New Roman" w:cs="Times New Roman"/>
                    </w:rPr>
                    <w:t>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1" w:type="pc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rPr>
                    <w:t>二氧化硫</w:t>
                  </w:r>
                </w:p>
              </w:tc>
              <w:tc>
                <w:tcPr>
                  <w:tcW w:w="121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rPr>
                    <w:t>50</w:t>
                  </w:r>
                </w:p>
              </w:tc>
              <w:tc>
                <w:tcPr>
                  <w:tcW w:w="2755" w:type="pct"/>
                  <w:vMerge w:val="continue"/>
                  <w:tcBorders>
                    <w:tl2br w:val="nil"/>
                    <w:tr2bl w:val="nil"/>
                  </w:tcBorders>
                  <w:noWrap w:val="0"/>
                  <w:vAlign w:val="center"/>
                </w:tcPr>
                <w:p>
                  <w:pPr>
                    <w:pStyle w:val="32"/>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1" w:type="pct"/>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r>
                    <w:rPr>
                      <w:rFonts w:hint="default" w:ascii="Times New Roman" w:hAnsi="Times New Roman" w:cs="Times New Roman"/>
                    </w:rPr>
                    <w:t>氮氧化物</w:t>
                  </w:r>
                </w:p>
              </w:tc>
              <w:tc>
                <w:tcPr>
                  <w:tcW w:w="1213" w:type="pc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rPr>
                    <w:t>50</w:t>
                  </w:r>
                </w:p>
              </w:tc>
              <w:tc>
                <w:tcPr>
                  <w:tcW w:w="2755" w:type="pct"/>
                  <w:tcBorders>
                    <w:tl2br w:val="nil"/>
                    <w:tr2bl w:val="nil"/>
                  </w:tcBorders>
                  <w:noWrap w:val="0"/>
                  <w:vAlign w:val="center"/>
                </w:tcPr>
                <w:p>
                  <w:pPr>
                    <w:pStyle w:val="32"/>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安徽省大气办关于印发《安徽省2020年大气污染防治重点工作任务》的通知（皖大气办（2020）2号）</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本项目废水排放执行《污水综合排放标准》（GB8978-1996）中的三级标准和宜黄线污水处理站接管标准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6"/>
              <w:spacing w:line="36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1-2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649"/>
              <w:gridCol w:w="991"/>
              <w:gridCol w:w="877"/>
              <w:gridCol w:w="639"/>
              <w:gridCol w:w="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0"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511"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pH</w:t>
                  </w:r>
                </w:p>
              </w:tc>
              <w:tc>
                <w:tcPr>
                  <w:tcW w:w="780"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690"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03"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42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Cs w:val="21"/>
                      <w:highlight w:val="none"/>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0"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宜黄线</w:t>
                  </w:r>
                  <w:r>
                    <w:rPr>
                      <w:rFonts w:hint="default" w:ascii="Times New Roman" w:hAnsi="Times New Roman" w:eastAsia="宋体" w:cs="Times New Roman"/>
                      <w:color w:val="auto"/>
                      <w:sz w:val="21"/>
                      <w:szCs w:val="21"/>
                      <w:lang w:val="en-US" w:eastAsia="zh-CN"/>
                    </w:rPr>
                    <w:t>污水处理</w:t>
                  </w:r>
                  <w:r>
                    <w:rPr>
                      <w:rFonts w:hint="eastAsia" w:ascii="Times New Roman" w:hAnsi="Times New Roman" w:eastAsia="宋体" w:cs="Times New Roman"/>
                      <w:color w:val="auto"/>
                      <w:sz w:val="21"/>
                      <w:szCs w:val="21"/>
                      <w:lang w:val="en-US" w:eastAsia="zh-CN"/>
                    </w:rPr>
                    <w:t>站</w:t>
                  </w:r>
                  <w:r>
                    <w:rPr>
                      <w:rFonts w:hint="default" w:ascii="Times New Roman" w:hAnsi="Times New Roman" w:eastAsia="宋体" w:cs="Times New Roman"/>
                      <w:color w:val="auto"/>
                      <w:sz w:val="21"/>
                      <w:szCs w:val="21"/>
                      <w:lang w:val="en-US" w:eastAsia="zh-CN"/>
                    </w:rPr>
                    <w:t>接管标准</w:t>
                  </w:r>
                </w:p>
              </w:tc>
              <w:tc>
                <w:tcPr>
                  <w:tcW w:w="511"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6~9</w:t>
                  </w:r>
                </w:p>
              </w:tc>
              <w:tc>
                <w:tcPr>
                  <w:tcW w:w="78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350</w:t>
                  </w:r>
                </w:p>
              </w:tc>
              <w:tc>
                <w:tcPr>
                  <w:tcW w:w="690"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140</w:t>
                  </w:r>
                </w:p>
              </w:tc>
              <w:tc>
                <w:tcPr>
                  <w:tcW w:w="503"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50</w:t>
                  </w:r>
                </w:p>
              </w:tc>
              <w:tc>
                <w:tcPr>
                  <w:tcW w:w="42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0"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《污水综合排放标准》（GB8978-1996）表4中的三级标准</w:t>
                  </w:r>
                </w:p>
              </w:tc>
              <w:tc>
                <w:tcPr>
                  <w:tcW w:w="511"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6~9</w:t>
                  </w:r>
                </w:p>
              </w:tc>
              <w:tc>
                <w:tcPr>
                  <w:tcW w:w="78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c>
                <w:tcPr>
                  <w:tcW w:w="690"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300</w:t>
                  </w:r>
                </w:p>
              </w:tc>
              <w:tc>
                <w:tcPr>
                  <w:tcW w:w="503"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400</w:t>
                  </w:r>
                </w:p>
              </w:tc>
              <w:tc>
                <w:tcPr>
                  <w:tcW w:w="42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20"/>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噪声排放标准</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0"/>
              <w:gridCol w:w="1738"/>
              <w:gridCol w:w="1584"/>
              <w:gridCol w:w="15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58"/>
              <w:gridCol w:w="2149"/>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3" w:type="pct"/>
                  <w:tcBorders>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683"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Cs w:val="21"/>
                    </w:rPr>
                    <w:t>NO</w:t>
                  </w:r>
                  <w:r>
                    <w:rPr>
                      <w:rFonts w:hint="default" w:ascii="Times New Roman" w:hAnsi="Times New Roman" w:cs="Times New Roman"/>
                      <w:szCs w:val="21"/>
                      <w:vertAlign w:val="subscript"/>
                    </w:rPr>
                    <w:t>x</w:t>
                  </w:r>
                </w:p>
              </w:tc>
              <w:tc>
                <w:tcPr>
                  <w:tcW w:w="1703"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0.476</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安徽华仁路桥工程有限公司组建于2008年5月，是一家集公路工程、市政工程、园林绿化工程及建筑材料销售为一体的现代化路桥园林企业。公司2008年5月委托宣城市环境保护科学研究所编制了《安徽华仁路桥工程有限公司年产4万t沥青混凝土拌和站项目建设环境影响报告表》，于2008年7月8日取得宁国市环境保护局环评批复，2010年11月9日该项目完成验收</w:t>
            </w:r>
            <w:r>
              <w:rPr>
                <w:rFonts w:hint="eastAsia" w:ascii="Times New Roman" w:hAnsi="Times New Roman" w:eastAsia="宋体" w:cs="Times New Roman"/>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现</w:t>
            </w:r>
            <w:r>
              <w:rPr>
                <w:rFonts w:hint="eastAsia" w:ascii="Times New Roman" w:hAnsi="Times New Roman" w:eastAsia="宋体" w:cs="Times New Roman"/>
                <w:sz w:val="24"/>
                <w:szCs w:val="24"/>
                <w:lang w:val="en-US" w:eastAsia="zh-CN"/>
              </w:rPr>
              <w:t>因</w:t>
            </w:r>
            <w:r>
              <w:rPr>
                <w:rFonts w:hint="default" w:ascii="Times New Roman" w:hAnsi="Times New Roman" w:eastAsia="宋体" w:cs="Times New Roman"/>
                <w:sz w:val="24"/>
                <w:szCs w:val="24"/>
                <w:lang w:val="en-US" w:eastAsia="zh-CN"/>
              </w:rPr>
              <w:t>生产SMA沥青玛蹄脂碎石混合料的质量要求提高</w:t>
            </w:r>
            <w:r>
              <w:rPr>
                <w:rFonts w:hint="eastAsia" w:ascii="Times New Roman" w:hAnsi="Times New Roman" w:eastAsia="宋体" w:cs="Times New Roman"/>
                <w:sz w:val="24"/>
                <w:szCs w:val="24"/>
                <w:lang w:val="en-US" w:eastAsia="zh-CN"/>
              </w:rPr>
              <w:t>，原</w:t>
            </w:r>
            <w:r>
              <w:rPr>
                <w:rFonts w:hint="default" w:ascii="Times New Roman" w:hAnsi="Times New Roman" w:eastAsia="宋体" w:cs="Times New Roman"/>
                <w:sz w:val="24"/>
                <w:szCs w:val="24"/>
                <w:lang w:val="en-US" w:eastAsia="zh-CN"/>
              </w:rPr>
              <w:t>有电加热锅炉满足不了其温控要求，在</w:t>
            </w:r>
            <w:r>
              <w:rPr>
                <w:rFonts w:hint="eastAsia" w:ascii="Times New Roman" w:hAnsi="Times New Roman" w:eastAsia="宋体" w:cs="Times New Roman"/>
                <w:sz w:val="24"/>
                <w:szCs w:val="24"/>
                <w:lang w:val="en-US" w:eastAsia="zh-CN"/>
              </w:rPr>
              <w:t>宁国市生态环境分局</w:t>
            </w:r>
            <w:r>
              <w:rPr>
                <w:rFonts w:hint="default" w:ascii="Times New Roman" w:hAnsi="Times New Roman" w:eastAsia="宋体" w:cs="Times New Roman"/>
                <w:sz w:val="24"/>
                <w:szCs w:val="24"/>
                <w:lang w:val="en-US" w:eastAsia="zh-CN"/>
              </w:rPr>
              <w:t>相关要求导热油炉需使用清洁能源的前提下，对导热油炉加热进行技改，使用清洁能源天然气</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公司</w:t>
            </w:r>
            <w:r>
              <w:rPr>
                <w:rFonts w:hint="default" w:ascii="Times New Roman" w:hAnsi="Times New Roman" w:eastAsia="宋体" w:cs="Times New Roman"/>
                <w:sz w:val="24"/>
                <w:szCs w:val="24"/>
                <w:lang w:val="en-US" w:eastAsia="zh-CN"/>
              </w:rPr>
              <w:t>委托</w:t>
            </w:r>
            <w:r>
              <w:rPr>
                <w:rFonts w:hint="eastAsia" w:ascii="Times New Roman" w:hAnsi="Times New Roman" w:eastAsia="宋体" w:cs="Times New Roman"/>
                <w:sz w:val="24"/>
                <w:szCs w:val="24"/>
                <w:lang w:val="en-US" w:eastAsia="zh-CN"/>
              </w:rPr>
              <w:t>安徽师范大学</w:t>
            </w:r>
            <w:r>
              <w:rPr>
                <w:rFonts w:hint="default" w:ascii="Times New Roman" w:hAnsi="Times New Roman" w:eastAsia="宋体" w:cs="Times New Roman"/>
                <w:sz w:val="24"/>
                <w:szCs w:val="24"/>
                <w:lang w:val="en-US" w:eastAsia="zh-CN"/>
              </w:rPr>
              <w:t>编制了《安徽华仁路桥工程有限公司年产4万t沥青混凝土拌和站技改项目建设环境影响报告表》，于20</w:t>
            </w:r>
            <w:r>
              <w:rPr>
                <w:rFonts w:hint="eastAsia"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日取得</w:t>
            </w:r>
            <w:r>
              <w:rPr>
                <w:rFonts w:hint="eastAsia" w:ascii="Times New Roman" w:hAnsi="Times New Roman" w:eastAsia="宋体" w:cs="Times New Roman"/>
                <w:sz w:val="24"/>
                <w:szCs w:val="24"/>
                <w:lang w:val="en-US" w:eastAsia="zh-CN"/>
              </w:rPr>
              <w:t>宣城市</w:t>
            </w:r>
            <w:r>
              <w:rPr>
                <w:rFonts w:hint="default" w:ascii="Times New Roman" w:hAnsi="Times New Roman" w:eastAsia="宋体" w:cs="Times New Roman"/>
                <w:sz w:val="24"/>
                <w:szCs w:val="24"/>
                <w:lang w:val="en-US" w:eastAsia="zh-CN"/>
              </w:rPr>
              <w:t>宁国市</w:t>
            </w:r>
            <w:r>
              <w:rPr>
                <w:rFonts w:hint="eastAsia" w:ascii="Times New Roman" w:hAnsi="Times New Roman" w:eastAsia="宋体" w:cs="Times New Roman"/>
                <w:sz w:val="24"/>
                <w:szCs w:val="24"/>
                <w:lang w:val="en-US" w:eastAsia="zh-CN"/>
              </w:rPr>
              <w:t>生态环境分</w:t>
            </w:r>
            <w:r>
              <w:rPr>
                <w:rFonts w:hint="default" w:ascii="Times New Roman" w:hAnsi="Times New Roman" w:eastAsia="宋体" w:cs="Times New Roman"/>
                <w:sz w:val="24"/>
                <w:szCs w:val="24"/>
                <w:lang w:val="en-US" w:eastAsia="zh-CN"/>
              </w:rPr>
              <w:t>局环评批复，批复文号：宁</w:t>
            </w:r>
            <w:r>
              <w:rPr>
                <w:rFonts w:hint="eastAsia" w:ascii="Times New Roman" w:hAnsi="Times New Roman" w:eastAsia="宋体" w:cs="Times New Roman"/>
                <w:sz w:val="24"/>
                <w:szCs w:val="24"/>
                <w:lang w:val="en-US" w:eastAsia="zh-CN"/>
              </w:rPr>
              <w:t>环审批</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环评对现有工程的搅拌工序产生的颗粒物、沥青烟、苯并芘的处理方式及水稳材料生产时进料过程中产生的颗粒物处理措施提出了整改，在本次验收前已完成整改措施，并完成现存环境问题整改项成效检测报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w:t>
            </w:r>
            <w:r>
              <w:rPr>
                <w:rFonts w:hint="eastAsia" w:ascii="Times New Roman" w:hAnsi="Times New Roman" w:eastAsia="宋体" w:cs="Times New Roman"/>
                <w:color w:val="000000"/>
                <w:kern w:val="0"/>
                <w:sz w:val="24"/>
                <w:szCs w:val="24"/>
                <w:lang w:val="en-US" w:eastAsia="zh-CN" w:bidi="ar"/>
              </w:rPr>
              <w:t>23年3月</w:t>
            </w:r>
            <w:r>
              <w:rPr>
                <w:rFonts w:hint="default" w:ascii="Times New Roman" w:hAnsi="Times New Roman" w:eastAsia="宋体" w:cs="Times New Roman"/>
                <w:color w:val="000000"/>
                <w:kern w:val="0"/>
                <w:sz w:val="24"/>
                <w:szCs w:val="24"/>
                <w:lang w:val="en-US" w:eastAsia="zh-CN" w:bidi="ar"/>
              </w:rPr>
              <w:t>开始建设，202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月完成</w:t>
            </w:r>
            <w:r>
              <w:rPr>
                <w:rFonts w:hint="eastAsia" w:ascii="Times New Roman" w:hAnsi="Times New Roman" w:eastAsia="宋体" w:cs="Times New Roman"/>
                <w:color w:val="000000"/>
                <w:kern w:val="0"/>
                <w:sz w:val="24"/>
                <w:szCs w:val="24"/>
                <w:lang w:val="en-US" w:eastAsia="zh-CN" w:bidi="ar"/>
              </w:rPr>
              <w:t>建设</w:t>
            </w:r>
            <w:r>
              <w:rPr>
                <w:rFonts w:hint="default" w:ascii="Times New Roman" w:hAnsi="Times New Roman" w:eastAsia="宋体" w:cs="Times New Roman"/>
                <w:color w:val="000000"/>
                <w:kern w:val="0"/>
                <w:sz w:val="24"/>
                <w:szCs w:val="24"/>
                <w:lang w:val="en-US" w:eastAsia="zh-CN" w:bidi="ar"/>
              </w:rPr>
              <w:t>，本次验收为</w:t>
            </w:r>
            <w:r>
              <w:rPr>
                <w:rFonts w:hint="eastAsia" w:ascii="Times New Roman" w:hAnsi="Times New Roman" w:eastAsia="宋体" w:cs="Times New Roman"/>
                <w:color w:val="000000"/>
                <w:kern w:val="0"/>
                <w:sz w:val="24"/>
                <w:szCs w:val="24"/>
                <w:lang w:val="en-US" w:eastAsia="zh-CN" w:bidi="ar"/>
              </w:rPr>
              <w:t>整体</w:t>
            </w:r>
            <w:r>
              <w:rPr>
                <w:rFonts w:hint="default" w:ascii="Times New Roman" w:hAnsi="Times New Roman" w:eastAsia="宋体" w:cs="Times New Roman"/>
                <w:color w:val="000000"/>
                <w:kern w:val="0"/>
                <w:sz w:val="24"/>
                <w:szCs w:val="24"/>
                <w:lang w:val="en-US" w:eastAsia="zh-CN" w:bidi="ar"/>
              </w:rPr>
              <w:t>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月安徽华仁路桥工程有限公司成立了验收小组，并委托宁国市浚成环境检测有限公司组织</w:t>
            </w:r>
            <w:r>
              <w:rPr>
                <w:rFonts w:hint="default" w:ascii="Times New Roman" w:hAnsi="Times New Roman" w:eastAsia="宋体" w:cs="Times New Roman"/>
                <w:sz w:val="24"/>
                <w:szCs w:val="24"/>
                <w:lang w:val="en-US" w:eastAsia="zh-CN"/>
              </w:rPr>
              <w:t>安徽华仁路桥工程有限公司</w:t>
            </w:r>
            <w:r>
              <w:rPr>
                <w:rFonts w:hint="default" w:ascii="Times New Roman" w:hAnsi="Times New Roman" w:eastAsia="宋体" w:cs="Times New Roman"/>
                <w:color w:val="auto"/>
                <w:sz w:val="24"/>
                <w:lang w:val="en-US" w:eastAsia="zh-CN"/>
              </w:rPr>
              <w:t>年产4万t沥青混凝土拌和站技改项目</w:t>
            </w:r>
            <w:r>
              <w:rPr>
                <w:rFonts w:hint="default" w:ascii="Times New Roman" w:hAnsi="Times New Roman" w:eastAsia="宋体" w:cs="Times New Roman"/>
                <w:color w:val="000000"/>
                <w:kern w:val="0"/>
                <w:sz w:val="24"/>
                <w:szCs w:val="24"/>
                <w:lang w:val="en-US" w:eastAsia="zh-CN" w:bidi="ar"/>
              </w:rPr>
              <w:t>竣工环保验收。202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13</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14</w:t>
            </w:r>
            <w:r>
              <w:rPr>
                <w:rFonts w:hint="default" w:ascii="Times New Roman" w:hAnsi="Times New Roman" w:eastAsia="宋体" w:cs="Times New Roman"/>
                <w:color w:val="000000"/>
                <w:kern w:val="0"/>
                <w:sz w:val="24"/>
                <w:szCs w:val="24"/>
                <w:lang w:val="en-US" w:eastAsia="zh-CN" w:bidi="ar"/>
              </w:rPr>
              <w:t>日，宁国市浚成环境检测有限公司对该项目开展现场检测工作，同时调查并核实项目环境保护工作落实情况，并编制完成《</w:t>
            </w:r>
            <w:r>
              <w:rPr>
                <w:rFonts w:hint="default" w:ascii="Times New Roman" w:hAnsi="Times New Roman" w:eastAsia="宋体" w:cs="Times New Roman"/>
                <w:sz w:val="24"/>
                <w:szCs w:val="24"/>
                <w:lang w:val="en-US" w:eastAsia="zh-CN"/>
              </w:rPr>
              <w:t>安徽华仁路桥工程有限公司年产4万t沥青混凝土拌和站技改项目</w:t>
            </w:r>
            <w:r>
              <w:rPr>
                <w:rFonts w:hint="default" w:ascii="Times New Roman" w:hAnsi="Times New Roman" w:eastAsia="宋体" w:cs="Times New Roman"/>
                <w:color w:val="000000"/>
                <w:kern w:val="0"/>
                <w:sz w:val="24"/>
                <w:szCs w:val="24"/>
                <w:lang w:val="en-US" w:eastAsia="zh-CN" w:bidi="ar"/>
              </w:rPr>
              <w:t>竣工环境保护验收监测报告表》。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w:t>
            </w:r>
            <w:r>
              <w:rPr>
                <w:rFonts w:hint="default" w:ascii="Times New Roman" w:hAnsi="Times New Roman" w:eastAsia="宋体" w:cs="Times New Roman"/>
                <w:color w:val="auto"/>
                <w:sz w:val="24"/>
                <w:lang w:val="en-US" w:eastAsia="zh-CN"/>
              </w:rPr>
              <w:t>年产4万t沥青混凝土</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097"/>
              <w:gridCol w:w="3043"/>
              <w:gridCol w:w="2699"/>
              <w:gridCol w:w="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839"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631"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搅拌楼</w:t>
                  </w:r>
                </w:p>
              </w:tc>
              <w:tc>
                <w:tcPr>
                  <w:tcW w:w="1839"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位于厂房北部，建筑面积约5000m</w:t>
                  </w:r>
                  <w:r>
                    <w:rPr>
                      <w:rFonts w:hint="default" w:ascii="Times New Roman" w:hAnsi="Times New Roman" w:cs="Times New Roman"/>
                      <w:szCs w:val="21"/>
                      <w:vertAlign w:val="superscript"/>
                    </w:rPr>
                    <w:t>2</w:t>
                  </w:r>
                  <w:r>
                    <w:rPr>
                      <w:rFonts w:hint="default" w:ascii="Times New Roman" w:hAnsi="Times New Roman" w:cs="Times New Roman"/>
                      <w:szCs w:val="21"/>
                    </w:rPr>
                    <w:t>，设有3000型沥青搅拌机一台</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计量搅拌系统、成品出料系统，</w:t>
                  </w:r>
                  <w:r>
                    <w:rPr>
                      <w:rFonts w:hint="default" w:ascii="Times New Roman" w:hAnsi="Times New Roman" w:cs="Times New Roman"/>
                      <w:szCs w:val="21"/>
                    </w:rPr>
                    <w:t>年产4万吨沥青混凝土。</w:t>
                  </w:r>
                </w:p>
              </w:tc>
              <w:tc>
                <w:tcPr>
                  <w:tcW w:w="1631"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位于厂房北部，建筑面积约5000m</w:t>
                  </w:r>
                  <w:r>
                    <w:rPr>
                      <w:rFonts w:hint="default" w:ascii="Times New Roman" w:hAnsi="Times New Roman" w:cs="Times New Roman"/>
                      <w:szCs w:val="21"/>
                      <w:vertAlign w:val="superscript"/>
                    </w:rPr>
                    <w:t>2</w:t>
                  </w:r>
                  <w:r>
                    <w:rPr>
                      <w:rFonts w:hint="default" w:ascii="Times New Roman" w:hAnsi="Times New Roman" w:cs="Times New Roman"/>
                      <w:szCs w:val="21"/>
                    </w:rPr>
                    <w:t>，设有3000型沥青搅拌机一台</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计量搅拌系统、成品出料系统，</w:t>
                  </w:r>
                  <w:r>
                    <w:rPr>
                      <w:rFonts w:hint="default" w:ascii="Times New Roman" w:hAnsi="Times New Roman" w:cs="Times New Roman"/>
                      <w:szCs w:val="21"/>
                    </w:rPr>
                    <w:t>年产4万吨沥青混凝土。</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进料区</w:t>
                  </w:r>
                </w:p>
              </w:tc>
              <w:tc>
                <w:tcPr>
                  <w:tcW w:w="1839"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位于厂房西部，建筑面积约600m</w:t>
                  </w:r>
                  <w:r>
                    <w:rPr>
                      <w:rFonts w:hint="default" w:ascii="Times New Roman" w:hAnsi="Times New Roman" w:cs="Times New Roman"/>
                      <w:vertAlign w:val="superscript"/>
                    </w:rPr>
                    <w:t>2</w:t>
                  </w:r>
                  <w:r>
                    <w:rPr>
                      <w:rFonts w:hint="default" w:ascii="Times New Roman" w:hAnsi="Times New Roman" w:cs="Times New Roman"/>
                      <w:lang w:eastAsia="zh-CN"/>
                    </w:rPr>
                    <w:t>，</w:t>
                  </w:r>
                  <w:r>
                    <w:rPr>
                      <w:rFonts w:hint="default" w:ascii="Times New Roman" w:hAnsi="Times New Roman" w:cs="Times New Roman"/>
                      <w:lang w:val="en-US" w:eastAsia="zh-CN"/>
                    </w:rPr>
                    <w:t>设有干燥滚筒、振动筛、热骨料仓、矿粉筒仓等。</w:t>
                  </w:r>
                </w:p>
              </w:tc>
              <w:tc>
                <w:tcPr>
                  <w:tcW w:w="1631"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rPr>
                    <w:t>位于厂房西部，建筑面积约600m</w:t>
                  </w:r>
                  <w:r>
                    <w:rPr>
                      <w:rFonts w:hint="default" w:ascii="Times New Roman" w:hAnsi="Times New Roman" w:cs="Times New Roman"/>
                      <w:vertAlign w:val="superscript"/>
                    </w:rPr>
                    <w:t>2</w:t>
                  </w:r>
                  <w:r>
                    <w:rPr>
                      <w:rFonts w:hint="default" w:ascii="Times New Roman" w:hAnsi="Times New Roman" w:cs="Times New Roman"/>
                      <w:lang w:eastAsia="zh-CN"/>
                    </w:rPr>
                    <w:t>，</w:t>
                  </w:r>
                  <w:r>
                    <w:rPr>
                      <w:rFonts w:hint="default" w:ascii="Times New Roman" w:hAnsi="Times New Roman" w:cs="Times New Roman"/>
                      <w:lang w:val="en-US" w:eastAsia="zh-CN"/>
                    </w:rPr>
                    <w:t>设有干燥滚筒、振动筛、热骨料仓、矿粉筒仓等。</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szCs w:val="21"/>
                      <w:lang w:val="en-US" w:eastAsia="zh-CN"/>
                    </w:rPr>
                    <w:t>石料</w:t>
                  </w:r>
                  <w:r>
                    <w:rPr>
                      <w:rFonts w:hint="default" w:ascii="Times New Roman" w:hAnsi="Times New Roman" w:cs="Times New Roman"/>
                      <w:szCs w:val="21"/>
                    </w:rPr>
                    <w:t>堆场</w:t>
                  </w:r>
                </w:p>
              </w:tc>
              <w:tc>
                <w:tcPr>
                  <w:tcW w:w="1839"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eastAsia="zh-CN"/>
                    </w:rPr>
                  </w:pPr>
                  <w:r>
                    <w:rPr>
                      <w:rFonts w:hint="default" w:ascii="Times New Roman" w:hAnsi="Times New Roman" w:cs="Times New Roman"/>
                      <w:szCs w:val="21"/>
                      <w:highlight w:val="none"/>
                    </w:rPr>
                    <w:t>位于厂房南部，</w:t>
                  </w:r>
                  <w:r>
                    <w:rPr>
                      <w:rFonts w:hint="default" w:ascii="Times New Roman" w:hAnsi="Times New Roman" w:cs="Times New Roman"/>
                      <w:szCs w:val="21"/>
                      <w:highlight w:val="none"/>
                      <w:lang w:val="en-US" w:eastAsia="zh-CN"/>
                    </w:rPr>
                    <w:t>储存量约20000t</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rPr>
                    <w:t>建筑面积约3000m</w:t>
                  </w:r>
                  <w:r>
                    <w:rPr>
                      <w:rFonts w:hint="default" w:ascii="Times New Roman" w:hAnsi="Times New Roman" w:cs="Times New Roman"/>
                      <w:szCs w:val="21"/>
                      <w:highlight w:val="none"/>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eastAsia="zh-CN"/>
                    </w:rPr>
                  </w:pPr>
                  <w:r>
                    <w:rPr>
                      <w:rFonts w:hint="default" w:ascii="Times New Roman" w:hAnsi="Times New Roman" w:cs="Times New Roman"/>
                      <w:szCs w:val="21"/>
                      <w:highlight w:val="none"/>
                    </w:rPr>
                    <w:t>位于厂房南部，</w:t>
                  </w:r>
                  <w:r>
                    <w:rPr>
                      <w:rFonts w:hint="default" w:ascii="Times New Roman" w:hAnsi="Times New Roman" w:cs="Times New Roman"/>
                      <w:szCs w:val="21"/>
                      <w:highlight w:val="none"/>
                      <w:lang w:val="en-US" w:eastAsia="zh-CN"/>
                    </w:rPr>
                    <w:t>储存量约20000t</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rPr>
                    <w:t>建筑面积约3000m</w:t>
                  </w:r>
                  <w:r>
                    <w:rPr>
                      <w:rFonts w:hint="default" w:ascii="Times New Roman" w:hAnsi="Times New Roman" w:cs="Times New Roman"/>
                      <w:szCs w:val="21"/>
                      <w:highlight w:val="none"/>
                      <w:vertAlign w:val="superscript"/>
                    </w:rPr>
                    <w:t>2</w:t>
                  </w:r>
                  <w:r>
                    <w:rPr>
                      <w:rFonts w:hint="default" w:ascii="Times New Roman" w:hAnsi="Times New Roman" w:cs="Times New Roman"/>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szCs w:val="21"/>
                    </w:rPr>
                    <w:t>成品库</w:t>
                  </w:r>
                </w:p>
              </w:tc>
              <w:tc>
                <w:tcPr>
                  <w:tcW w:w="1839"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szCs w:val="36"/>
                      <w:lang w:val="en-US" w:eastAsia="zh-CN"/>
                    </w:rPr>
                  </w:pPr>
                  <w:r>
                    <w:rPr>
                      <w:rFonts w:hint="default" w:ascii="Times New Roman" w:hAnsi="Times New Roman" w:cs="Times New Roman"/>
                      <w:szCs w:val="21"/>
                      <w:highlight w:val="none"/>
                    </w:rPr>
                    <w:t>位于厂房西北部，</w:t>
                  </w:r>
                  <w:r>
                    <w:rPr>
                      <w:rFonts w:hint="default" w:ascii="Times New Roman" w:hAnsi="Times New Roman" w:cs="Times New Roman"/>
                      <w:szCs w:val="21"/>
                      <w:highlight w:val="none"/>
                      <w:lang w:val="en-US" w:eastAsia="zh-CN"/>
                    </w:rPr>
                    <w:t>建有一间成品仓库，储存量约40t，建筑面积约</w:t>
                  </w:r>
                  <w:r>
                    <w:rPr>
                      <w:rFonts w:hint="default" w:ascii="Times New Roman" w:hAnsi="Times New Roman" w:cs="Times New Roman"/>
                      <w:szCs w:val="21"/>
                      <w:highlight w:val="none"/>
                    </w:rPr>
                    <w:t>500m</w:t>
                  </w:r>
                  <w:r>
                    <w:rPr>
                      <w:rFonts w:hint="default" w:ascii="Times New Roman" w:hAnsi="Times New Roman" w:cs="Times New Roman"/>
                      <w:szCs w:val="21"/>
                      <w:highlight w:val="none"/>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szCs w:val="36"/>
                      <w:lang w:val="en-US" w:eastAsia="zh-CN"/>
                    </w:rPr>
                  </w:pPr>
                  <w:r>
                    <w:rPr>
                      <w:rFonts w:hint="default" w:ascii="Times New Roman" w:hAnsi="Times New Roman" w:cs="Times New Roman"/>
                      <w:szCs w:val="21"/>
                      <w:highlight w:val="none"/>
                    </w:rPr>
                    <w:t>位于厂房西北部，</w:t>
                  </w:r>
                  <w:r>
                    <w:rPr>
                      <w:rFonts w:hint="default" w:ascii="Times New Roman" w:hAnsi="Times New Roman" w:cs="Times New Roman"/>
                      <w:szCs w:val="21"/>
                      <w:highlight w:val="none"/>
                      <w:lang w:val="en-US" w:eastAsia="zh-CN"/>
                    </w:rPr>
                    <w:t>建有一间成品仓库，储存量约40t，建筑面积约</w:t>
                  </w:r>
                  <w:r>
                    <w:rPr>
                      <w:rFonts w:hint="default" w:ascii="Times New Roman" w:hAnsi="Times New Roman" w:cs="Times New Roman"/>
                      <w:szCs w:val="21"/>
                      <w:highlight w:val="none"/>
                    </w:rPr>
                    <w:t>500m</w:t>
                  </w:r>
                  <w:r>
                    <w:rPr>
                      <w:rFonts w:hint="default" w:ascii="Times New Roman" w:hAnsi="Times New Roman" w:cs="Times New Roman"/>
                      <w:szCs w:val="21"/>
                      <w:highlight w:val="none"/>
                      <w:vertAlign w:val="superscript"/>
                    </w:rPr>
                    <w:t>2</w:t>
                  </w:r>
                  <w:r>
                    <w:rPr>
                      <w:rFonts w:hint="default" w:ascii="Times New Roman" w:hAnsi="Times New Roman" w:cs="Times New Roman"/>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szCs w:val="21"/>
                    </w:rPr>
                  </w:pPr>
                  <w:r>
                    <w:rPr>
                      <w:rFonts w:hint="default" w:ascii="Times New Roman" w:hAnsi="Times New Roman" w:cs="Times New Roman"/>
                      <w:szCs w:val="21"/>
                    </w:rPr>
                    <w:t>物料运输</w:t>
                  </w:r>
                </w:p>
              </w:tc>
              <w:tc>
                <w:tcPr>
                  <w:tcW w:w="1839"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szCs w:val="21"/>
                    </w:rPr>
                  </w:pPr>
                  <w:r>
                    <w:rPr>
                      <w:rFonts w:hint="default" w:ascii="Times New Roman" w:hAnsi="Times New Roman" w:cs="Times New Roman"/>
                      <w:szCs w:val="21"/>
                    </w:rPr>
                    <w:t>原料及产品采用汽车运输。</w:t>
                  </w:r>
                </w:p>
              </w:tc>
              <w:tc>
                <w:tcPr>
                  <w:tcW w:w="1631"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szCs w:val="36"/>
                      <w:lang w:val="en-US" w:eastAsia="zh-CN"/>
                    </w:rPr>
                  </w:pPr>
                  <w:r>
                    <w:rPr>
                      <w:rFonts w:hint="default" w:ascii="Times New Roman" w:hAnsi="Times New Roman" w:cs="Times New Roman"/>
                      <w:szCs w:val="21"/>
                    </w:rPr>
                    <w:t>原料及产品采用汽车运输。</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供电</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用电接自开发区电网，自备200KVA变压器1台，年用电量</w:t>
                  </w:r>
                  <w:r>
                    <w:rPr>
                      <w:rFonts w:hint="default" w:ascii="Times New Roman" w:hAnsi="Times New Roman" w:cs="Times New Roman"/>
                      <w:szCs w:val="21"/>
                      <w:lang w:val="en-US" w:eastAsia="zh-CN"/>
                    </w:rPr>
                    <w:t>4</w:t>
                  </w:r>
                  <w:r>
                    <w:rPr>
                      <w:rFonts w:hint="default" w:ascii="Times New Roman" w:hAnsi="Times New Roman" w:cs="Times New Roman"/>
                      <w:szCs w:val="21"/>
                    </w:rPr>
                    <w:t>万kwh。</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用电接自开发区电网，自备200KVA变压器1台，年用电量</w:t>
                  </w:r>
                  <w:r>
                    <w:rPr>
                      <w:rFonts w:hint="default" w:ascii="Times New Roman" w:hAnsi="Times New Roman" w:cs="Times New Roman"/>
                      <w:szCs w:val="21"/>
                      <w:lang w:val="en-US" w:eastAsia="zh-CN"/>
                    </w:rPr>
                    <w:t>4</w:t>
                  </w:r>
                  <w:r>
                    <w:rPr>
                      <w:rFonts w:hint="default" w:ascii="Times New Roman" w:hAnsi="Times New Roman" w:cs="Times New Roman"/>
                      <w:szCs w:val="21"/>
                    </w:rPr>
                    <w:t>万kwh。</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rPr>
                  </w:pPr>
                  <w:r>
                    <w:rPr>
                      <w:rFonts w:hint="default" w:ascii="Times New Roman" w:hAnsi="Times New Roman" w:cs="Times New Roman"/>
                      <w:szCs w:val="21"/>
                    </w:rPr>
                    <w:t>供水</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用水取自开发区市政供水管网，主要为生产用水，每年用水量为1200吨。</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rPr>
                  </w:pPr>
                  <w:r>
                    <w:rPr>
                      <w:rFonts w:hint="default" w:ascii="Times New Roman" w:hAnsi="Times New Roman" w:cs="Times New Roman"/>
                      <w:szCs w:val="21"/>
                    </w:rPr>
                    <w:t>用水取自开发区市政供水管网，主要为生产用水，每年用水量为1200吨。</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供气</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由园区天然气管道提供</w:t>
                  </w:r>
                  <w:r>
                    <w:rPr>
                      <w:rStyle w:val="18"/>
                      <w:rFonts w:hint="default" w:ascii="Times New Roman" w:hAnsi="Times New Roman" w:cs="Times New Roman"/>
                      <w:szCs w:val="21"/>
                    </w:rPr>
                    <w:t>，</w:t>
                  </w:r>
                  <w:r>
                    <w:rPr>
                      <w:rFonts w:hint="default" w:ascii="Times New Roman" w:hAnsi="Times New Roman" w:cs="Times New Roman"/>
                      <w:szCs w:val="21"/>
                    </w:rPr>
                    <w:t>年用量为</w:t>
                  </w:r>
                  <w:r>
                    <w:rPr>
                      <w:rFonts w:hint="default" w:ascii="Times New Roman" w:hAnsi="Times New Roman" w:cs="Times New Roman"/>
                      <w:szCs w:val="21"/>
                      <w:lang w:val="en-US" w:eastAsia="zh-CN"/>
                    </w:rPr>
                    <w:t>30万</w:t>
                  </w:r>
                  <w:r>
                    <w:rPr>
                      <w:rFonts w:hint="default" w:ascii="Times New Roman" w:hAnsi="Times New Roman" w:cs="Times New Roman"/>
                      <w:szCs w:val="21"/>
                    </w:rPr>
                    <w:t>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rPr>
                    <w:t>/a。</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由园区天然气管道提供</w:t>
                  </w:r>
                  <w:r>
                    <w:rPr>
                      <w:rStyle w:val="18"/>
                      <w:rFonts w:hint="default" w:ascii="Times New Roman" w:hAnsi="Times New Roman" w:cs="Times New Roman"/>
                      <w:szCs w:val="21"/>
                    </w:rPr>
                    <w:t>，</w:t>
                  </w:r>
                  <w:r>
                    <w:rPr>
                      <w:rFonts w:hint="default" w:ascii="Times New Roman" w:hAnsi="Times New Roman" w:cs="Times New Roman"/>
                      <w:szCs w:val="21"/>
                    </w:rPr>
                    <w:t>年用量为</w:t>
                  </w:r>
                  <w:r>
                    <w:rPr>
                      <w:rFonts w:hint="default" w:ascii="Times New Roman" w:hAnsi="Times New Roman" w:cs="Times New Roman"/>
                      <w:szCs w:val="21"/>
                      <w:lang w:val="en-US" w:eastAsia="zh-CN"/>
                    </w:rPr>
                    <w:t>30万</w:t>
                  </w:r>
                  <w:r>
                    <w:rPr>
                      <w:rFonts w:hint="default" w:ascii="Times New Roman" w:hAnsi="Times New Roman" w:cs="Times New Roman"/>
                      <w:szCs w:val="21"/>
                    </w:rPr>
                    <w:t>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rPr>
                    <w:t>/a。</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Cs w:val="21"/>
                    </w:rPr>
                    <w:t>排水</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Cs w:val="21"/>
                    </w:rPr>
                    <w:t>项目采用雨污分流制，雨水收集后</w:t>
                  </w:r>
                  <w:r>
                    <w:rPr>
                      <w:rFonts w:hint="default" w:ascii="Times New Roman" w:hAnsi="Times New Roman" w:cs="Times New Roman"/>
                      <w:szCs w:val="21"/>
                      <w:lang w:val="en-US" w:eastAsia="zh-CN"/>
                    </w:rPr>
                    <w:t>排入雨水管网</w:t>
                  </w:r>
                  <w:r>
                    <w:rPr>
                      <w:rFonts w:hint="default" w:ascii="Times New Roman" w:hAnsi="Times New Roman" w:cs="Times New Roman"/>
                      <w:szCs w:val="21"/>
                    </w:rPr>
                    <w:t>。生活污水经地埋式污水处理装置处理达标后排入开发区污水管网</w:t>
                  </w:r>
                  <w:r>
                    <w:rPr>
                      <w:rFonts w:hint="default" w:ascii="Times New Roman" w:hAnsi="Times New Roman" w:cs="Times New Roman"/>
                      <w:szCs w:val="21"/>
                      <w:lang w:eastAsia="zh-CN"/>
                    </w:rPr>
                    <w:t>。</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Cs w:val="21"/>
                    </w:rPr>
                    <w:t>项目采用雨污分流制，雨水收集后</w:t>
                  </w:r>
                  <w:r>
                    <w:rPr>
                      <w:rFonts w:hint="default" w:ascii="Times New Roman" w:hAnsi="Times New Roman" w:cs="Times New Roman"/>
                      <w:szCs w:val="21"/>
                      <w:lang w:val="en-US" w:eastAsia="zh-CN"/>
                    </w:rPr>
                    <w:t>排入雨水管网</w:t>
                  </w:r>
                  <w:r>
                    <w:rPr>
                      <w:rFonts w:hint="default" w:ascii="Times New Roman" w:hAnsi="Times New Roman" w:cs="Times New Roman"/>
                      <w:szCs w:val="21"/>
                    </w:rPr>
                    <w:t>。生活污水经地埋式污水处理装置处理达标后</w:t>
                  </w:r>
                  <w:r>
                    <w:rPr>
                      <w:rFonts w:hint="eastAsia" w:ascii="Times New Roman" w:hAnsi="Times New Roman" w:cs="Times New Roman"/>
                      <w:szCs w:val="21"/>
                      <w:lang w:eastAsia="zh-CN"/>
                    </w:rPr>
                    <w:t>经</w:t>
                  </w:r>
                  <w:r>
                    <w:rPr>
                      <w:rFonts w:hint="default" w:ascii="Times New Roman" w:hAnsi="Times New Roman" w:cs="Times New Roman"/>
                      <w:szCs w:val="21"/>
                    </w:rPr>
                    <w:t>开发区污水管网排入宜黄线污水处理站</w:t>
                  </w:r>
                  <w:r>
                    <w:rPr>
                      <w:rFonts w:hint="default"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Cs w:val="21"/>
                    </w:rPr>
                    <w:t>办公区</w:t>
                  </w:r>
                </w:p>
              </w:tc>
              <w:tc>
                <w:tcPr>
                  <w:tcW w:w="1839"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位于厂房西侧，建筑面积约500m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keepNext w:val="0"/>
                    <w:keepLines w:val="0"/>
                    <w:pageBreakBefore w:val="0"/>
                    <w:widowControl/>
                    <w:tabs>
                      <w:tab w:val="left" w:pos="3255"/>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Cs w:val="21"/>
                    </w:rPr>
                    <w:t>位于厂房西侧，建筑面积约500m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szCs w:val="21"/>
                    </w:rPr>
                    <w:t>门卫室</w:t>
                  </w:r>
                </w:p>
              </w:tc>
              <w:tc>
                <w:tcPr>
                  <w:tcW w:w="1839"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szCs w:val="21"/>
                    </w:rPr>
                    <w:t>位于厂房西北部，建筑面积约</w:t>
                  </w:r>
                  <w:r>
                    <w:rPr>
                      <w:rFonts w:hint="default" w:ascii="Times New Roman" w:hAnsi="Times New Roman" w:eastAsia="宋体" w:cs="Times New Roman"/>
                      <w:szCs w:val="21"/>
                      <w:lang w:val="en-US" w:eastAsia="zh-CN"/>
                    </w:rPr>
                    <w:t>2</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1631"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jc w:val="center"/>
                    <w:textAlignment w:val="auto"/>
                    <w:rPr>
                      <w:rFonts w:hint="default" w:ascii="Times New Roman" w:hAnsi="Times New Roman" w:cs="Times New Roman"/>
                      <w:color w:val="auto"/>
                      <w:lang w:val="en-US" w:eastAsia="zh-CN"/>
                    </w:rPr>
                  </w:pPr>
                  <w:r>
                    <w:rPr>
                      <w:rFonts w:hint="default" w:ascii="Times New Roman" w:hAnsi="Times New Roman" w:cs="Times New Roman"/>
                      <w:szCs w:val="21"/>
                    </w:rPr>
                    <w:t>位于厂房西北部，建筑面积约</w:t>
                  </w:r>
                  <w:r>
                    <w:rPr>
                      <w:rFonts w:hint="default" w:ascii="Times New Roman" w:hAnsi="Times New Roman" w:eastAsia="宋体" w:cs="Times New Roman"/>
                      <w:szCs w:val="21"/>
                      <w:lang w:val="en-US" w:eastAsia="zh-CN"/>
                    </w:rPr>
                    <w:t>2</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74"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839" w:type="pct"/>
                  <w:tcBorders>
                    <w:tl2br w:val="nil"/>
                    <w:tr2bl w:val="nil"/>
                  </w:tcBorders>
                  <w:noWrap w:val="0"/>
                  <w:vAlign w:val="center"/>
                </w:tcPr>
                <w:p>
                  <w:pPr>
                    <w:pStyle w:val="23"/>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lang w:eastAsia="zh-CN"/>
                    </w:rPr>
                  </w:pPr>
                  <w:r>
                    <w:rPr>
                      <w:rFonts w:hint="default" w:ascii="Times New Roman" w:hAnsi="Times New Roman" w:cs="Times New Roman"/>
                      <w:szCs w:val="21"/>
                    </w:rPr>
                    <w:t>锅炉废气经低氮燃烧器处理后，通过通过一根15m排气筒排放（DA001）</w:t>
                  </w:r>
                  <w:r>
                    <w:rPr>
                      <w:rFonts w:hint="eastAsia" w:ascii="Times New Roman" w:hAnsi="Times New Roman" w:cs="Times New Roman"/>
                      <w:szCs w:val="21"/>
                      <w:lang w:eastAsia="zh-CN"/>
                    </w:rPr>
                    <w:t>。</w:t>
                  </w:r>
                </w:p>
              </w:tc>
              <w:tc>
                <w:tcPr>
                  <w:tcW w:w="1631" w:type="pct"/>
                  <w:tcBorders>
                    <w:tl2br w:val="nil"/>
                    <w:tr2bl w:val="nil"/>
                  </w:tcBorders>
                  <w:noWrap w:val="0"/>
                  <w:vAlign w:val="center"/>
                </w:tcPr>
                <w:p>
                  <w:pPr>
                    <w:pStyle w:val="23"/>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cs="Times New Roman"/>
                      <w:color w:val="auto"/>
                      <w:kern w:val="2"/>
                      <w:sz w:val="21"/>
                      <w:szCs w:val="21"/>
                      <w:lang w:eastAsia="zh-CN"/>
                    </w:rPr>
                  </w:pPr>
                  <w:r>
                    <w:rPr>
                      <w:rFonts w:hint="default" w:ascii="Times New Roman" w:hAnsi="Times New Roman" w:cs="Times New Roman"/>
                      <w:szCs w:val="21"/>
                    </w:rPr>
                    <w:t>锅炉废气经低氮燃烧器处理后，通过通过一根</w:t>
                  </w:r>
                  <w:r>
                    <w:rPr>
                      <w:rFonts w:hint="eastAsia" w:ascii="Times New Roman" w:hAnsi="Times New Roman" w:cs="Times New Roman"/>
                      <w:szCs w:val="21"/>
                      <w:lang w:val="en-US" w:eastAsia="zh-CN"/>
                    </w:rPr>
                    <w:t>8</w:t>
                  </w:r>
                  <w:r>
                    <w:rPr>
                      <w:rFonts w:hint="default" w:ascii="Times New Roman" w:hAnsi="Times New Roman" w:cs="Times New Roman"/>
                      <w:szCs w:val="21"/>
                    </w:rPr>
                    <w:t>m排气筒排放（DA001）</w:t>
                  </w:r>
                  <w:r>
                    <w:rPr>
                      <w:rFonts w:hint="eastAsia"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839" w:type="pct"/>
                  <w:tcBorders>
                    <w:tl2br w:val="nil"/>
                    <w:tr2bl w:val="nil"/>
                  </w:tcBorders>
                  <w:noWrap w:val="0"/>
                  <w:vAlign w:val="center"/>
                </w:tcPr>
                <w:p>
                  <w:pPr>
                    <w:pStyle w:val="23"/>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生活污水经地埋式污水处理装置处理达标后排入开发区污水管网</w:t>
                  </w:r>
                  <w:r>
                    <w:rPr>
                      <w:rFonts w:hint="default" w:ascii="Times New Roman" w:hAnsi="Times New Roman" w:cs="Times New Roman"/>
                      <w:szCs w:val="21"/>
                      <w:lang w:eastAsia="zh-CN"/>
                    </w:rPr>
                    <w:t>。</w:t>
                  </w:r>
                </w:p>
              </w:tc>
              <w:tc>
                <w:tcPr>
                  <w:tcW w:w="1631" w:type="pct"/>
                  <w:tcBorders>
                    <w:tl2br w:val="nil"/>
                    <w:tr2bl w:val="nil"/>
                  </w:tcBorders>
                  <w:noWrap w:val="0"/>
                  <w:vAlign w:val="center"/>
                </w:tcPr>
                <w:p>
                  <w:pPr>
                    <w:pStyle w:val="23"/>
                    <w:keepNext w:val="0"/>
                    <w:keepLines w:val="0"/>
                    <w:pageBreakBefore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生活污水经地埋式污水处理装置处理达标后排入宜黄线污水处理站</w:t>
                  </w:r>
                  <w:r>
                    <w:rPr>
                      <w:rFonts w:hint="default"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839"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Cs w:val="21"/>
                    </w:rPr>
                    <w:t>选用低噪音设备，采用基础减振、隔声等措施</w:t>
                  </w:r>
                  <w:r>
                    <w:rPr>
                      <w:rFonts w:hint="eastAsia" w:ascii="Times New Roman" w:hAnsi="Times New Roman" w:cs="Times New Roman"/>
                      <w:szCs w:val="21"/>
                      <w:lang w:eastAsia="zh-CN"/>
                    </w:rPr>
                    <w:t>。</w:t>
                  </w:r>
                </w:p>
              </w:tc>
              <w:tc>
                <w:tcPr>
                  <w:tcW w:w="1631"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选用低噪音设备，采用基础减振、隔声等措施</w:t>
                  </w:r>
                  <w:r>
                    <w:rPr>
                      <w:rFonts w:hint="eastAsia"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szCs w:val="21"/>
                    </w:rPr>
                    <w:t>生活垃圾：垃圾桶集中收集，收集后由环卫部门</w:t>
                  </w:r>
                  <w:r>
                    <w:rPr>
                      <w:rFonts w:hint="eastAsia" w:ascii="Times New Roman" w:hAnsi="Times New Roman" w:cs="Times New Roman"/>
                      <w:szCs w:val="21"/>
                      <w:lang w:eastAsia="zh-CN"/>
                    </w:rPr>
                    <w:t>统一</w:t>
                  </w:r>
                  <w:r>
                    <w:rPr>
                      <w:rFonts w:hint="default" w:ascii="Times New Roman" w:hAnsi="Times New Roman" w:cs="Times New Roman"/>
                      <w:szCs w:val="21"/>
                    </w:rPr>
                    <w:t>清运</w:t>
                  </w:r>
                  <w:r>
                    <w:rPr>
                      <w:rFonts w:hint="default" w:ascii="Times New Roman" w:hAnsi="Times New Roman" w:cs="Times New Roman"/>
                      <w:szCs w:val="21"/>
                      <w:lang w:eastAsia="zh-CN"/>
                    </w:rPr>
                    <w:t>。</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szCs w:val="21"/>
                    </w:rPr>
                    <w:t>生活垃圾：垃圾桶集中收集，收集后由环卫部门</w:t>
                  </w:r>
                  <w:r>
                    <w:rPr>
                      <w:rFonts w:hint="eastAsia" w:ascii="Times New Roman" w:hAnsi="Times New Roman" w:cs="Times New Roman"/>
                      <w:szCs w:val="21"/>
                      <w:lang w:eastAsia="zh-CN"/>
                    </w:rPr>
                    <w:t>统一</w:t>
                  </w:r>
                  <w:r>
                    <w:rPr>
                      <w:rFonts w:hint="default" w:ascii="Times New Roman" w:hAnsi="Times New Roman" w:cs="Times New Roman"/>
                      <w:szCs w:val="21"/>
                    </w:rPr>
                    <w:t>清运</w:t>
                  </w:r>
                  <w:r>
                    <w:rPr>
                      <w:rFonts w:hint="default"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kern w:val="0"/>
                      <w:szCs w:val="21"/>
                    </w:rPr>
                    <w:t>现有工程建有一般固废库</w:t>
                  </w:r>
                  <w:r>
                    <w:rPr>
                      <w:rFonts w:hint="default" w:ascii="Times New Roman" w:hAnsi="Times New Roman" w:cs="Times New Roman"/>
                      <w:szCs w:val="21"/>
                    </w:rPr>
                    <w:t>1间，建筑面积约</w:t>
                  </w:r>
                  <w:r>
                    <w:rPr>
                      <w:rFonts w:hint="default" w:ascii="Times New Roman" w:hAnsi="Times New Roman" w:cs="Times New Roman"/>
                      <w:szCs w:val="21"/>
                      <w:lang w:val="en-US" w:eastAsia="zh-CN"/>
                    </w:rPr>
                    <w:t>2</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，主要暂存布袋粉尘、滴漏沥青、拌和残渣等，回收后再利用</w:t>
                  </w:r>
                  <w:r>
                    <w:rPr>
                      <w:rFonts w:hint="default" w:ascii="Times New Roman" w:hAnsi="Times New Roman" w:cs="Times New Roman"/>
                      <w:szCs w:val="21"/>
                      <w:lang w:eastAsia="zh-CN"/>
                    </w:rPr>
                    <w:t>。</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cs="Times New Roman"/>
                      <w:kern w:val="0"/>
                      <w:szCs w:val="21"/>
                      <w:lang w:eastAsia="zh-CN"/>
                    </w:rPr>
                    <w:t>建设</w:t>
                  </w:r>
                  <w:r>
                    <w:rPr>
                      <w:rFonts w:hint="default" w:ascii="Times New Roman" w:hAnsi="Times New Roman" w:cs="Times New Roman"/>
                      <w:kern w:val="0"/>
                      <w:szCs w:val="21"/>
                    </w:rPr>
                    <w:t>一般固废库</w:t>
                  </w:r>
                  <w:r>
                    <w:rPr>
                      <w:rFonts w:hint="default" w:ascii="Times New Roman" w:hAnsi="Times New Roman" w:cs="Times New Roman"/>
                      <w:szCs w:val="21"/>
                    </w:rPr>
                    <w:t>1间，建筑面积约</w:t>
                  </w:r>
                  <w:r>
                    <w:rPr>
                      <w:rFonts w:hint="default" w:ascii="Times New Roman" w:hAnsi="Times New Roman" w:cs="Times New Roman"/>
                      <w:szCs w:val="21"/>
                      <w:lang w:val="en-US" w:eastAsia="zh-CN"/>
                    </w:rPr>
                    <w:t>2</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，主要暂存布袋粉尘、滴漏沥青、拌和残渣等，回收后再利用</w:t>
                  </w:r>
                  <w:r>
                    <w:rPr>
                      <w:rFonts w:hint="default" w:ascii="Times New Roman" w:hAnsi="Times New Roman" w:cs="Times New Roman"/>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839"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Cs/>
                      <w:szCs w:val="21"/>
                    </w:rPr>
                    <w:t>建有危废暂存间</w:t>
                  </w:r>
                  <w:r>
                    <w:rPr>
                      <w:rFonts w:hint="default" w:ascii="Times New Roman" w:hAnsi="Times New Roman" w:cs="Times New Roman"/>
                      <w:szCs w:val="21"/>
                    </w:rPr>
                    <w:t>共1间，建筑面积约</w:t>
                  </w:r>
                  <w:r>
                    <w:rPr>
                      <w:rFonts w:hint="default" w:ascii="Times New Roman" w:hAnsi="Times New Roman" w:cs="Times New Roman"/>
                      <w:szCs w:val="21"/>
                      <w:lang w:val="en-US" w:eastAsia="zh-CN"/>
                    </w:rPr>
                    <w:t>1</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，主要暂存废活性炭、废</w:t>
                  </w:r>
                  <w:r>
                    <w:rPr>
                      <w:rFonts w:hint="default" w:ascii="Times New Roman" w:hAnsi="Times New Roman" w:cs="Times New Roman"/>
                      <w:szCs w:val="21"/>
                      <w:lang w:val="en-US" w:eastAsia="zh-CN"/>
                    </w:rPr>
                    <w:t>导热</w:t>
                  </w:r>
                  <w:r>
                    <w:rPr>
                      <w:rFonts w:hint="default" w:ascii="Times New Roman" w:hAnsi="Times New Roman" w:cs="Times New Roman"/>
                      <w:szCs w:val="21"/>
                    </w:rPr>
                    <w:t>油等，并委托有资质单位处置利用。</w:t>
                  </w:r>
                </w:p>
              </w:tc>
              <w:tc>
                <w:tcPr>
                  <w:tcW w:w="1631" w:type="pct"/>
                  <w:tcBorders>
                    <w:tl2br w:val="nil"/>
                    <w:tr2bl w:val="nil"/>
                  </w:tcBorders>
                  <w:noWrap w:val="0"/>
                  <w:vAlign w:val="center"/>
                </w:tcPr>
                <w:p>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Cs w:val="21"/>
                      <w:lang w:eastAsia="zh-CN"/>
                    </w:rPr>
                    <w:t>建设</w:t>
                  </w:r>
                  <w:r>
                    <w:rPr>
                      <w:rFonts w:hint="default" w:ascii="Times New Roman" w:hAnsi="Times New Roman" w:cs="Times New Roman"/>
                      <w:bCs/>
                      <w:szCs w:val="21"/>
                    </w:rPr>
                    <w:t>危废暂存间</w:t>
                  </w:r>
                  <w:r>
                    <w:rPr>
                      <w:rFonts w:hint="default" w:ascii="Times New Roman" w:hAnsi="Times New Roman" w:cs="Times New Roman"/>
                      <w:szCs w:val="21"/>
                    </w:rPr>
                    <w:t>共1间，建筑面积</w:t>
                  </w:r>
                  <w:r>
                    <w:rPr>
                      <w:rFonts w:hint="default" w:ascii="Times New Roman" w:hAnsi="Times New Roman" w:cs="Times New Roman"/>
                      <w:szCs w:val="21"/>
                      <w:lang w:val="en-US" w:eastAsia="zh-CN"/>
                    </w:rPr>
                    <w:t>1</w:t>
                  </w:r>
                  <w:r>
                    <w:rPr>
                      <w:rFonts w:hint="default" w:ascii="Times New Roman" w:hAnsi="Times New Roman" w:cs="Times New Roman"/>
                      <w:szCs w:val="21"/>
                    </w:rPr>
                    <w:t>0m</w:t>
                  </w:r>
                  <w:r>
                    <w:rPr>
                      <w:rFonts w:hint="default" w:ascii="Times New Roman" w:hAnsi="Times New Roman" w:cs="Times New Roman"/>
                      <w:szCs w:val="21"/>
                      <w:vertAlign w:val="superscript"/>
                    </w:rPr>
                    <w:t>2</w:t>
                  </w:r>
                  <w:r>
                    <w:rPr>
                      <w:rFonts w:hint="default" w:ascii="Times New Roman" w:hAnsi="Times New Roman" w:cs="Times New Roman"/>
                      <w:szCs w:val="21"/>
                    </w:rPr>
                    <w:t>，主要暂存废活性炭、废</w:t>
                  </w:r>
                  <w:r>
                    <w:rPr>
                      <w:rFonts w:hint="default" w:ascii="Times New Roman" w:hAnsi="Times New Roman" w:cs="Times New Roman"/>
                      <w:szCs w:val="21"/>
                      <w:lang w:val="en-US" w:eastAsia="zh-CN"/>
                    </w:rPr>
                    <w:t>导热</w:t>
                  </w:r>
                  <w:r>
                    <w:rPr>
                      <w:rFonts w:hint="default" w:ascii="Times New Roman" w:hAnsi="Times New Roman" w:cs="Times New Roman"/>
                      <w:szCs w:val="21"/>
                    </w:rPr>
                    <w:t>油等，并委托有资质单位处置利用。</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highlight w:val="none"/>
                    </w:rPr>
                    <w:t>风险防治措施</w:t>
                  </w:r>
                </w:p>
              </w:tc>
              <w:tc>
                <w:tcPr>
                  <w:tcW w:w="1839" w:type="pct"/>
                  <w:tcBorders>
                    <w:tl2br w:val="nil"/>
                    <w:tr2bl w:val="nil"/>
                  </w:tcBorders>
                  <w:noWrap w:val="0"/>
                  <w:vAlign w:val="center"/>
                </w:tcPr>
                <w:p>
                  <w:pPr>
                    <w:pStyle w:val="7"/>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24"/>
                      <w:sz w:val="21"/>
                      <w:szCs w:val="21"/>
                      <w:lang w:val="en-US" w:eastAsia="zh-CN" w:bidi="ar-SA"/>
                    </w:rPr>
                    <w:t>危废库</w:t>
                  </w:r>
                  <w:r>
                    <w:rPr>
                      <w:rFonts w:hint="default" w:ascii="Times New Roman" w:hAnsi="Times New Roman" w:cs="Times New Roman"/>
                      <w:color w:val="auto"/>
                      <w:kern w:val="24"/>
                      <w:sz w:val="21"/>
                      <w:szCs w:val="21"/>
                      <w:lang w:val="en-US" w:eastAsia="zh-CN" w:bidi="ar-SA"/>
                    </w:rPr>
                    <w:t>、导热油炉区、沥青储罐区</w:t>
                  </w:r>
                  <w:r>
                    <w:rPr>
                      <w:rFonts w:hint="default" w:ascii="Times New Roman" w:hAnsi="Times New Roman" w:eastAsia="宋体" w:cs="Times New Roman"/>
                      <w:color w:val="auto"/>
                      <w:kern w:val="24"/>
                      <w:sz w:val="21"/>
                      <w:szCs w:val="21"/>
                      <w:lang w:val="en-US" w:eastAsia="zh-CN" w:bidi="ar-SA"/>
                    </w:rPr>
                    <w:t>：为重点防渗区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防渗层至少为1m厚粘土层（渗透系数≤10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rPr>
                    <w:t>cm/s），铺设2mm厚高密度聚乙烯，地面以混凝土铺设，采用环氧漆做防腐防渗处理，并设置10cm高围堰。</w:t>
                  </w:r>
                </w:p>
                <w:p>
                  <w:pPr>
                    <w:snapToGrid w:val="0"/>
                    <w:jc w:val="center"/>
                    <w:rPr>
                      <w:rFonts w:hint="default" w:ascii="Times New Roman" w:hAnsi="Times New Roman" w:cs="Times New Roman"/>
                      <w:bCs/>
                      <w:szCs w:val="21"/>
                    </w:rPr>
                  </w:pPr>
                  <w:r>
                    <w:rPr>
                      <w:rFonts w:hint="default" w:ascii="Times New Roman" w:hAnsi="Times New Roman" w:cs="Times New Roman"/>
                      <w:color w:val="auto"/>
                      <w:sz w:val="21"/>
                      <w:szCs w:val="21"/>
                    </w:rPr>
                    <w:t>生产</w:t>
                  </w:r>
                  <w:r>
                    <w:rPr>
                      <w:rFonts w:hint="default" w:ascii="Times New Roman" w:hAnsi="Times New Roman" w:eastAsia="宋体" w:cs="Times New Roman"/>
                      <w:color w:val="auto"/>
                      <w:kern w:val="24"/>
                      <w:sz w:val="21"/>
                      <w:szCs w:val="21"/>
                      <w:lang w:val="en-US" w:eastAsia="zh-CN" w:bidi="ar-SA"/>
                    </w:rPr>
                    <w:t>车间：为一般防渗区</w:t>
                  </w:r>
                  <w:r>
                    <w:rPr>
                      <w:rFonts w:hint="default" w:ascii="Times New Roman" w:hAnsi="Times New Roman" w:cs="Times New Roman"/>
                      <w:color w:val="auto"/>
                      <w:kern w:val="24"/>
                      <w:sz w:val="21"/>
                      <w:szCs w:val="21"/>
                      <w:lang w:val="en-US" w:eastAsia="zh-CN" w:bidi="ar-SA"/>
                    </w:rPr>
                    <w:t>，</w:t>
                  </w:r>
                  <w:r>
                    <w:rPr>
                      <w:rFonts w:hint="default" w:ascii="Times New Roman" w:hAnsi="Times New Roman" w:cs="Times New Roman"/>
                      <w:color w:val="auto"/>
                      <w:sz w:val="21"/>
                      <w:szCs w:val="21"/>
                    </w:rPr>
                    <w:t>防渗混凝土硬化，渗透系数达到≤1.0×10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c>
                <w:tcPr>
                  <w:tcW w:w="1631" w:type="pct"/>
                  <w:tcBorders>
                    <w:tl2br w:val="nil"/>
                    <w:tr2bl w:val="nil"/>
                  </w:tcBorders>
                  <w:noWrap w:val="0"/>
                  <w:vAlign w:val="center"/>
                </w:tcPr>
                <w:p>
                  <w:pPr>
                    <w:pStyle w:val="7"/>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24"/>
                      <w:sz w:val="21"/>
                      <w:szCs w:val="21"/>
                      <w:lang w:val="en-US" w:eastAsia="zh-CN" w:bidi="ar-SA"/>
                    </w:rPr>
                    <w:t>危废库</w:t>
                  </w:r>
                  <w:r>
                    <w:rPr>
                      <w:rFonts w:hint="default" w:ascii="Times New Roman" w:hAnsi="Times New Roman" w:cs="Times New Roman"/>
                      <w:color w:val="auto"/>
                      <w:kern w:val="24"/>
                      <w:sz w:val="21"/>
                      <w:szCs w:val="21"/>
                      <w:lang w:val="en-US" w:eastAsia="zh-CN" w:bidi="ar-SA"/>
                    </w:rPr>
                    <w:t>、导热油炉区、沥青储罐区</w:t>
                  </w:r>
                  <w:r>
                    <w:rPr>
                      <w:rFonts w:hint="default" w:ascii="Times New Roman" w:hAnsi="Times New Roman" w:eastAsia="宋体" w:cs="Times New Roman"/>
                      <w:color w:val="auto"/>
                      <w:kern w:val="24"/>
                      <w:sz w:val="21"/>
                      <w:szCs w:val="21"/>
                      <w:lang w:val="en-US" w:eastAsia="zh-CN" w:bidi="ar-SA"/>
                    </w:rPr>
                    <w:t>：为重点防渗区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防渗层至少为1m厚粘土层（渗透系数≤10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rPr>
                    <w:t>cm/s），铺设2mm厚高密度聚乙烯，地面以混凝土铺设，采用环氧漆做防腐防渗处理，并设置10cm高围堰。</w:t>
                  </w:r>
                </w:p>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sz w:val="21"/>
                      <w:szCs w:val="21"/>
                    </w:rPr>
                    <w:t>生产</w:t>
                  </w:r>
                  <w:r>
                    <w:rPr>
                      <w:rFonts w:hint="default" w:ascii="Times New Roman" w:hAnsi="Times New Roman" w:eastAsia="宋体" w:cs="Times New Roman"/>
                      <w:color w:val="auto"/>
                      <w:kern w:val="24"/>
                      <w:sz w:val="21"/>
                      <w:szCs w:val="21"/>
                      <w:lang w:val="en-US" w:eastAsia="zh-CN" w:bidi="ar-SA"/>
                    </w:rPr>
                    <w:t>车间：为一般防渗区</w:t>
                  </w:r>
                  <w:r>
                    <w:rPr>
                      <w:rFonts w:hint="default" w:ascii="Times New Roman" w:hAnsi="Times New Roman" w:cs="Times New Roman"/>
                      <w:color w:val="auto"/>
                      <w:kern w:val="24"/>
                      <w:sz w:val="21"/>
                      <w:szCs w:val="21"/>
                      <w:lang w:val="en-US" w:eastAsia="zh-CN" w:bidi="ar-SA"/>
                    </w:rPr>
                    <w:t>，</w:t>
                  </w:r>
                  <w:r>
                    <w:rPr>
                      <w:rFonts w:hint="default" w:ascii="Times New Roman" w:hAnsi="Times New Roman" w:cs="Times New Roman"/>
                      <w:color w:val="auto"/>
                      <w:sz w:val="21"/>
                      <w:szCs w:val="21"/>
                    </w:rPr>
                    <w:t>防渗混凝土硬化，渗透系数达到≤1.0×10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c>
                <w:tcPr>
                  <w:tcW w:w="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三、现存主要环境问题整改措施完成情况</w:t>
            </w:r>
          </w:p>
          <w:p>
            <w:pPr>
              <w:spacing w:line="360" w:lineRule="auto"/>
              <w:ind w:firstLine="422"/>
              <w:jc w:val="center"/>
              <w:rPr>
                <w:rFonts w:hint="eastAsia"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表3-2 现有工程存在的主要环境问题及整改措施表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765"/>
              <w:gridCol w:w="2979"/>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序号</w:t>
                  </w:r>
                </w:p>
              </w:tc>
              <w:tc>
                <w:tcPr>
                  <w:tcW w:w="26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存在问题</w:t>
                  </w:r>
                </w:p>
              </w:tc>
              <w:tc>
                <w:tcPr>
                  <w:tcW w:w="28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整改措施</w:t>
                  </w:r>
                </w:p>
              </w:tc>
              <w:tc>
                <w:tcPr>
                  <w:tcW w:w="16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整改完成时间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2"/>
                      <w:vertAlign w:val="baseli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after="0"/>
                    <w:ind w:right="113" w:rightChars="0" w:firstLine="210" w:firstLineChars="100"/>
                    <w:jc w:val="center"/>
                    <w:textAlignment w:val="auto"/>
                    <w:rPr>
                      <w:rFonts w:hint="default" w:ascii="宋体" w:hAnsi="宋体" w:eastAsia="宋体" w:cs="宋体"/>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vertAlign w:val="baseline"/>
                      <w:lang w:val="en-US" w:eastAsia="zh-CN"/>
                      <w14:textFill>
                        <w14:solidFill>
                          <w14:schemeClr w14:val="tx1"/>
                        </w14:solidFill>
                      </w14:textFill>
                    </w:rPr>
                    <w:t>1</w:t>
                  </w:r>
                </w:p>
              </w:tc>
              <w:tc>
                <w:tcPr>
                  <w:tcW w:w="2646" w:type="dxa"/>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color w:val="000000" w:themeColor="text1"/>
                      <w:sz w:val="21"/>
                      <w:szCs w:val="16"/>
                      <w:lang w:val="en-US" w:eastAsia="zh-CN"/>
                      <w14:textFill>
                        <w14:solidFill>
                          <w14:schemeClr w14:val="tx1"/>
                        </w14:solidFill>
                      </w14:textFill>
                    </w:rPr>
                    <w:t>现有工程搅拌工序产生的颗粒物、沥青烟、苯并芘的处理方式不是可行技术规范。</w:t>
                  </w:r>
                </w:p>
              </w:tc>
              <w:tc>
                <w:tcPr>
                  <w:tcW w:w="28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对搅拌工序产生的</w:t>
                  </w:r>
                  <w:r>
                    <w:rPr>
                      <w:rFonts w:hint="eastAsia"/>
                      <w:color w:val="000000" w:themeColor="text1"/>
                      <w:sz w:val="21"/>
                      <w:szCs w:val="16"/>
                      <w:lang w:val="en-US" w:eastAsia="zh-CN"/>
                      <w14:textFill>
                        <w14:solidFill>
                          <w14:schemeClr w14:val="tx1"/>
                        </w14:solidFill>
                      </w14:textFill>
                    </w:rPr>
                    <w:t>颗粒物、沥青烟、苯并芘采用“布袋除尘器+两级活性炭”装置处理。</w:t>
                  </w:r>
                </w:p>
              </w:tc>
              <w:tc>
                <w:tcPr>
                  <w:tcW w:w="16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本次技改项目建成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firstLine="210" w:firstLineChars="100"/>
                    <w:jc w:val="center"/>
                    <w:textAlignment w:val="auto"/>
                    <w:rPr>
                      <w:rFonts w:hint="default" w:ascii="Times New Roman" w:hAnsi="Times New Roman" w:eastAsia="宋体" w:cs="Times New Roman"/>
                      <w:color w:val="000000" w:themeColor="text1"/>
                      <w:sz w:val="21"/>
                      <w:szCs w:val="22"/>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vertAlign w:val="baseline"/>
                      <w:lang w:val="en-US" w:eastAsia="zh-CN"/>
                      <w14:textFill>
                        <w14:solidFill>
                          <w14:schemeClr w14:val="tx1"/>
                        </w14:solidFill>
                      </w14:textFill>
                    </w:rPr>
                    <w:t>2</w:t>
                  </w:r>
                </w:p>
              </w:tc>
              <w:tc>
                <w:tcPr>
                  <w:tcW w:w="2646" w:type="dxa"/>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color w:val="000000" w:themeColor="text1"/>
                      <w:sz w:val="21"/>
                      <w:szCs w:val="16"/>
                      <w:lang w:val="en-US" w:eastAsia="zh-CN"/>
                      <w14:textFill>
                        <w14:solidFill>
                          <w14:schemeClr w14:val="tx1"/>
                        </w14:solidFill>
                      </w14:textFill>
                    </w:rPr>
                  </w:pPr>
                  <w:r>
                    <w:rPr>
                      <w:rFonts w:hint="eastAsia"/>
                      <w:color w:val="000000" w:themeColor="text1"/>
                      <w:sz w:val="21"/>
                      <w:szCs w:val="16"/>
                      <w:lang w:val="en-US" w:eastAsia="zh-CN"/>
                      <w14:textFill>
                        <w14:solidFill>
                          <w14:schemeClr w14:val="tx1"/>
                        </w14:solidFill>
                      </w14:textFill>
                    </w:rPr>
                    <w:t>水稳材料生产时进料过程中产生的颗粒物未按原环评要求采取有效的处理措施</w:t>
                  </w:r>
                </w:p>
              </w:tc>
              <w:tc>
                <w:tcPr>
                  <w:tcW w:w="28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在</w:t>
                  </w:r>
                  <w:r>
                    <w:rPr>
                      <w:rFonts w:hint="eastAsia"/>
                      <w:color w:val="000000" w:themeColor="text1"/>
                      <w:sz w:val="21"/>
                      <w:szCs w:val="16"/>
                      <w:lang w:val="en-US" w:eastAsia="zh-CN"/>
                      <w14:textFill>
                        <w14:solidFill>
                          <w14:schemeClr w14:val="tx1"/>
                        </w14:solidFill>
                      </w14:textFill>
                    </w:rPr>
                    <w:t>水稳材料</w:t>
                  </w: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进料处加装布袋除尘器对颗粒物进行处理。</w:t>
                  </w:r>
                </w:p>
              </w:tc>
              <w:tc>
                <w:tcPr>
                  <w:tcW w:w="16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本次技改项目建成</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jc w:val="center"/>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图3-1 搅拌工序废气处理设施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图3-2 水稳材料进料废气处理设施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kern w:val="2"/>
                <w:sz w:val="21"/>
                <w:szCs w:val="21"/>
                <w:lang w:val="en-US" w:eastAsia="zh-CN" w:bidi="ar-SA"/>
              </w:rPr>
            </w:pPr>
          </w:p>
          <w:p>
            <w:pPr>
              <w:pStyle w:val="3"/>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kern w:val="2"/>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kern w:val="2"/>
                <w:sz w:val="24"/>
                <w:szCs w:val="24"/>
                <w:lang w:val="en-US" w:eastAsia="zh-CN" w:bidi="ar-SA"/>
              </w:rPr>
              <w:t>四、</w:t>
            </w:r>
            <w:r>
              <w:rPr>
                <w:rFonts w:hint="default" w:ascii="Times New Roman" w:hAnsi="Times New Roman" w:eastAsia="宋体" w:cs="Times New Roman"/>
                <w:b/>
                <w:bCs/>
                <w:sz w:val="24"/>
                <w:szCs w:val="24"/>
                <w:lang w:val="en-US" w:eastAsia="zh-CN"/>
              </w:rPr>
              <w:t xml:space="preserve">项目变动情况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981"/>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安徽省宣城市宁国市经济技术开发区宜黄路</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安徽省宣城市宁国市经济技术开发区宜黄路</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建设内容年产4万t沥青混凝土</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目前实际建设内容年产4万t沥青混凝土</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建设内容年产4万t沥青混凝土</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目前实际建设内容年产4万t沥青混凝土</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安徽省宣城市宁国市经济技术开发区宜黄路</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安徽省宣城市宁国市经济技术开发区宜黄路</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锅炉废气经低氮燃烧器处理后，通过通过一根15m排气筒排放（DA001）。</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lang w:eastAsia="zh-CN"/>
                    </w:rPr>
                    <w:t>锅炉废气经低氮燃烧器处理后，通过通过一根</w:t>
                  </w:r>
                  <w:r>
                    <w:rPr>
                      <w:rFonts w:hint="eastAsia" w:ascii="Times New Roman" w:hAnsi="Times New Roman" w:cs="Times New Roman"/>
                      <w:lang w:val="en-US" w:eastAsia="zh-CN"/>
                    </w:rPr>
                    <w:t>8</w:t>
                  </w:r>
                  <w:r>
                    <w:rPr>
                      <w:rFonts w:hint="default" w:ascii="Times New Roman" w:hAnsi="Times New Roman" w:cs="Times New Roman"/>
                      <w:lang w:eastAsia="zh-CN"/>
                    </w:rPr>
                    <w:t>m排气筒排放（DA001）。</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根据</w:t>
                  </w:r>
                  <w:r>
                    <w:rPr>
                      <w:rFonts w:hint="default" w:ascii="Times New Roman" w:hAnsi="Times New Roman" w:eastAsia="宋体" w:cs="Times New Roman"/>
                      <w:sz w:val="21"/>
                      <w:szCs w:val="21"/>
                      <w:vertAlign w:val="baseline"/>
                      <w:lang w:eastAsia="zh-CN"/>
                    </w:rPr>
                    <w:t>《锅炉大气污染物排放标准》（GB13271-2014）中规定天然气锅炉的排气筒高度不低于8米</w:t>
                  </w:r>
                  <w:r>
                    <w:rPr>
                      <w:rFonts w:hint="eastAsia" w:ascii="Times New Roman" w:hAnsi="Times New Roman" w:eastAsia="宋体" w:cs="Times New Roman"/>
                      <w:sz w:val="21"/>
                      <w:szCs w:val="21"/>
                      <w:vertAlign w:val="baseline"/>
                      <w:lang w:eastAsia="zh-CN"/>
                    </w:rPr>
                    <w:t>，不属于重大</w:t>
                  </w:r>
                  <w:r>
                    <w:rPr>
                      <w:rFonts w:hint="default" w:ascii="Times New Roman" w:hAnsi="Times New Roman" w:eastAsia="宋体" w:cs="Times New Roman"/>
                      <w:sz w:val="21"/>
                      <w:szCs w:val="21"/>
                      <w:vertAlign w:val="baseline"/>
                      <w:lang w:eastAsia="zh-CN"/>
                    </w:rPr>
                    <w:t>变动</w:t>
                  </w:r>
                  <w:r>
                    <w:rPr>
                      <w:rFonts w:hint="eastAsia"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锅炉废气经低氮燃烧器处理后，通过通过一根15m排气筒排放（DA001）。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rPr>
                    <w:t>生活污水经地埋式污水处理装置处理达标后排入开发区污水管网</w:t>
                  </w:r>
                  <w:r>
                    <w:rPr>
                      <w:rFonts w:hint="default" w:ascii="Times New Roman" w:hAnsi="Times New Roman" w:cs="Times New Roman"/>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锅炉废气经低氮燃烧器处理后，通过通过一根</w:t>
                  </w:r>
                  <w:r>
                    <w:rPr>
                      <w:rFonts w:hint="eastAsia" w:ascii="Times New Roman" w:hAnsi="Times New Roman" w:cs="Times New Roman"/>
                      <w:lang w:val="en-US" w:eastAsia="zh-CN"/>
                    </w:rPr>
                    <w:t>8</w:t>
                  </w:r>
                  <w:r>
                    <w:rPr>
                      <w:rFonts w:hint="default" w:ascii="Times New Roman" w:hAnsi="Times New Roman" w:cs="Times New Roman"/>
                      <w:lang w:eastAsia="zh-CN"/>
                    </w:rPr>
                    <w:t>m排气筒排放（DA001）。</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szCs w:val="21"/>
                    </w:rPr>
                    <w:t>生活污水经地埋式污水处理装置处理达标后</w:t>
                  </w:r>
                  <w:r>
                    <w:rPr>
                      <w:rFonts w:hint="eastAsia" w:ascii="Times New Roman" w:hAnsi="Times New Roman" w:cs="Times New Roman"/>
                      <w:szCs w:val="21"/>
                      <w:lang w:eastAsia="zh-CN"/>
                    </w:rPr>
                    <w:t>经</w:t>
                  </w:r>
                  <w:r>
                    <w:rPr>
                      <w:rFonts w:hint="default" w:ascii="Times New Roman" w:hAnsi="Times New Roman" w:cs="Times New Roman"/>
                      <w:szCs w:val="21"/>
                    </w:rPr>
                    <w:t>开发区污水管网排入宜黄线污水处理站</w:t>
                  </w:r>
                  <w:r>
                    <w:rPr>
                      <w:rFonts w:hint="default" w:ascii="Times New Roman" w:hAnsi="Times New Roman" w:cs="Times New Roman"/>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根据</w:t>
                  </w:r>
                  <w:r>
                    <w:rPr>
                      <w:rFonts w:hint="default" w:ascii="Times New Roman" w:hAnsi="Times New Roman" w:eastAsia="宋体" w:cs="Times New Roman"/>
                      <w:sz w:val="21"/>
                      <w:szCs w:val="21"/>
                      <w:vertAlign w:val="baseline"/>
                      <w:lang w:eastAsia="zh-CN"/>
                    </w:rPr>
                    <w:t>《锅炉大气污染物排放标准》（GB13271-2014）中规定天然气锅炉的排气筒高度不低于8米</w:t>
                  </w:r>
                  <w:r>
                    <w:rPr>
                      <w:rFonts w:hint="eastAsia" w:ascii="Times New Roman" w:hAnsi="Times New Roman" w:eastAsia="宋体" w:cs="Times New Roman"/>
                      <w:sz w:val="21"/>
                      <w:szCs w:val="21"/>
                      <w:vertAlign w:val="baseline"/>
                      <w:lang w:eastAsia="zh-CN"/>
                    </w:rPr>
                    <w:t>，不属于重大</w:t>
                  </w:r>
                  <w:r>
                    <w:rPr>
                      <w:rFonts w:hint="default" w:ascii="Times New Roman" w:hAnsi="Times New Roman" w:eastAsia="宋体" w:cs="Times New Roman"/>
                      <w:sz w:val="21"/>
                      <w:szCs w:val="21"/>
                      <w:vertAlign w:val="baseline"/>
                      <w:lang w:eastAsia="zh-CN"/>
                    </w:rPr>
                    <w:t>变动</w:t>
                  </w:r>
                  <w:r>
                    <w:rPr>
                      <w:rFonts w:hint="eastAsia"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rPr>
                    <w:t>生活污水经地埋式污水处理装置处理达标后排入开发区污水管网</w:t>
                  </w:r>
                  <w:r>
                    <w:rPr>
                      <w:rFonts w:hint="default" w:ascii="Times New Roman" w:hAnsi="Times New Roman" w:cs="Times New Roman"/>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Cs w:val="21"/>
                    </w:rPr>
                    <w:t>生活污水经地埋式污水处理装置处理达标后</w:t>
                  </w:r>
                  <w:r>
                    <w:rPr>
                      <w:rFonts w:hint="eastAsia" w:ascii="Times New Roman" w:hAnsi="Times New Roman" w:cs="Times New Roman"/>
                      <w:szCs w:val="21"/>
                      <w:lang w:eastAsia="zh-CN"/>
                    </w:rPr>
                    <w:t>经</w:t>
                  </w:r>
                  <w:r>
                    <w:rPr>
                      <w:rFonts w:hint="default" w:ascii="Times New Roman" w:hAnsi="Times New Roman" w:cs="Times New Roman"/>
                      <w:szCs w:val="21"/>
                    </w:rPr>
                    <w:t>开发区污水管网排入宜黄线污水处理站</w:t>
                  </w:r>
                  <w:r>
                    <w:rPr>
                      <w:rFonts w:hint="default" w:ascii="Times New Roman" w:hAnsi="Times New Roman" w:cs="Times New Roman"/>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lang w:eastAsia="zh-CN"/>
                    </w:rPr>
                    <w:t>锅炉废气经低氮燃烧器处理后，通过通过一根15m排气筒排放（DA001）。</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cs="Times New Roman"/>
                      <w:lang w:eastAsia="zh-CN"/>
                    </w:rPr>
                    <w:t>锅炉废气经低氮燃烧器处理后，通过通过一根</w:t>
                  </w:r>
                  <w:r>
                    <w:rPr>
                      <w:rFonts w:hint="eastAsia" w:ascii="Times New Roman" w:hAnsi="Times New Roman" w:cs="Times New Roman"/>
                      <w:lang w:val="en-US" w:eastAsia="zh-CN"/>
                    </w:rPr>
                    <w:t>8</w:t>
                  </w:r>
                  <w:r>
                    <w:rPr>
                      <w:rFonts w:hint="default" w:ascii="Times New Roman" w:hAnsi="Times New Roman" w:cs="Times New Roman"/>
                      <w:lang w:eastAsia="zh-CN"/>
                    </w:rPr>
                    <w:t>m排气筒排放（DA001）。</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根据</w:t>
                  </w:r>
                  <w:r>
                    <w:rPr>
                      <w:rFonts w:hint="default" w:ascii="Times New Roman" w:hAnsi="Times New Roman" w:eastAsia="宋体" w:cs="Times New Roman"/>
                      <w:sz w:val="21"/>
                      <w:szCs w:val="21"/>
                      <w:vertAlign w:val="baseline"/>
                      <w:lang w:eastAsia="zh-CN"/>
                    </w:rPr>
                    <w:t>《锅炉大气污染物排放标准》（GB13271-2014）中规定天然气锅炉的排气筒高度不低于8米</w:t>
                  </w:r>
                  <w:r>
                    <w:rPr>
                      <w:rFonts w:hint="eastAsia" w:ascii="Times New Roman" w:hAnsi="Times New Roman" w:eastAsia="宋体" w:cs="Times New Roman"/>
                      <w:sz w:val="21"/>
                      <w:szCs w:val="21"/>
                      <w:vertAlign w:val="baseline"/>
                      <w:lang w:eastAsia="zh-CN"/>
                    </w:rPr>
                    <w:t>，不属于重大</w:t>
                  </w:r>
                  <w:r>
                    <w:rPr>
                      <w:rFonts w:hint="default" w:ascii="Times New Roman" w:hAnsi="Times New Roman" w:eastAsia="宋体" w:cs="Times New Roman"/>
                      <w:sz w:val="21"/>
                      <w:szCs w:val="21"/>
                      <w:vertAlign w:val="baseline"/>
                      <w:lang w:eastAsia="zh-CN"/>
                    </w:rPr>
                    <w:t>变动</w:t>
                  </w:r>
                  <w:r>
                    <w:rPr>
                      <w:rFonts w:hint="eastAsia" w:ascii="Times New Roman" w:hAnsi="Times New Roman" w:eastAsia="宋体" w:cs="Times New Roman"/>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1" w:type="dxa"/>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Cs w:val="21"/>
                    </w:rPr>
                    <w:t>隔声、减振等措施。</w:t>
                  </w:r>
                  <w:r>
                    <w:rPr>
                      <w:rFonts w:hint="default" w:ascii="Times New Roman" w:hAnsi="Times New Roman" w:cs="Times New Roman"/>
                      <w:color w:val="auto"/>
                      <w:kern w:val="0"/>
                      <w:szCs w:val="21"/>
                    </w:rPr>
                    <w:t>设置</w:t>
                  </w:r>
                  <w:r>
                    <w:rPr>
                      <w:rFonts w:hint="default" w:ascii="Times New Roman" w:hAnsi="Times New Roman" w:eastAsia="宋体" w:cs="Times New Roman"/>
                      <w:bCs/>
                      <w:color w:val="auto"/>
                      <w:sz w:val="21"/>
                      <w:szCs w:val="21"/>
                      <w:lang w:eastAsia="zh-CN"/>
                    </w:rPr>
                    <w:t>危险</w:t>
                  </w:r>
                  <w:r>
                    <w:rPr>
                      <w:rFonts w:hint="default" w:ascii="Times New Roman" w:hAnsi="Times New Roman" w:cs="Times New Roman"/>
                      <w:bCs/>
                      <w:color w:val="auto"/>
                      <w:sz w:val="21"/>
                      <w:szCs w:val="21"/>
                      <w:lang w:eastAsia="zh-CN"/>
                    </w:rPr>
                    <w:t>废物暂存间</w:t>
                  </w:r>
                  <w:r>
                    <w:rPr>
                      <w:rFonts w:hint="default" w:ascii="Times New Roman" w:hAnsi="Times New Roman" w:eastAsia="宋体" w:cs="Times New Roman"/>
                      <w:bCs/>
                      <w:color w:val="auto"/>
                      <w:sz w:val="21"/>
                      <w:szCs w:val="21"/>
                      <w:lang w:val="en-US" w:eastAsia="zh-CN"/>
                    </w:rPr>
                    <w:t>1间，</w:t>
                  </w:r>
                  <w:r>
                    <w:rPr>
                      <w:rFonts w:hint="default" w:ascii="Times New Roman" w:hAnsi="Times New Roman" w:cs="Times New Roman"/>
                      <w:color w:val="auto"/>
                      <w:kern w:val="0"/>
                      <w:szCs w:val="21"/>
                    </w:rPr>
                    <w:t>位于车间西南侧，</w:t>
                  </w:r>
                  <w:r>
                    <w:rPr>
                      <w:rFonts w:hint="default" w:ascii="Times New Roman" w:hAnsi="Times New Roman" w:cs="Times New Roman"/>
                      <w:color w:val="auto"/>
                      <w:szCs w:val="21"/>
                    </w:rPr>
                    <w:t>建筑面积为</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eastAsia="zh-CN"/>
                    </w:rPr>
                    <w:t>地面采用水泥硬化</w:t>
                  </w:r>
                  <w:r>
                    <w:rPr>
                      <w:rFonts w:hint="default" w:ascii="Times New Roman" w:hAnsi="Times New Roman" w:cs="Times New Roman"/>
                      <w:color w:val="auto"/>
                      <w:kern w:val="0"/>
                      <w:szCs w:val="21"/>
                      <w:lang w:val="en-US" w:eastAsia="zh-CN"/>
                    </w:rPr>
                    <w:t>+环氧树脂材料防渗</w:t>
                  </w:r>
                  <w:r>
                    <w:rPr>
                      <w:rFonts w:hint="eastAsia" w:ascii="Times New Roman" w:hAnsi="Times New Roman" w:cs="Times New Roman"/>
                      <w:color w:val="auto"/>
                      <w:kern w:val="0"/>
                      <w:szCs w:val="21"/>
                      <w:lang w:val="en-US" w:eastAsia="zh-CN"/>
                    </w:rPr>
                    <w:t>，防渗系数≤10</w:t>
                  </w:r>
                  <w:r>
                    <w:rPr>
                      <w:rFonts w:hint="eastAsia" w:ascii="Times New Roman" w:hAnsi="Times New Roman" w:cs="Times New Roman"/>
                      <w:color w:val="auto"/>
                      <w:kern w:val="0"/>
                      <w:szCs w:val="21"/>
                      <w:vertAlign w:val="superscript"/>
                      <w:lang w:val="en-US" w:eastAsia="zh-CN"/>
                    </w:rPr>
                    <w:t>-7</w:t>
                  </w:r>
                  <w:r>
                    <w:rPr>
                      <w:rFonts w:hint="eastAsia" w:ascii="Times New Roman" w:hAnsi="Times New Roman" w:cs="Times New Roman"/>
                      <w:color w:val="auto"/>
                      <w:kern w:val="0"/>
                      <w:szCs w:val="21"/>
                      <w:lang w:val="en-US" w:eastAsia="zh-CN"/>
                    </w:rPr>
                    <w:t>cm/s，液态危废下方设托盘防泄漏。危险废物分类集中收集，标志后委托资质单位集中处置，并签订危废处置协议。</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r>
                    <w:rPr>
                      <w:rFonts w:hint="default" w:ascii="Times New Roman" w:hAnsi="Times New Roman" w:eastAsia="宋体" w:cs="Times New Roman"/>
                      <w:vertAlign w:val="baseline"/>
                      <w:lang w:val="en-US" w:eastAsia="zh-CN"/>
                    </w:rPr>
                    <w:t>一般固废库1间，建筑面积约20m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，主要暂存布袋粉尘、滴漏沥青、拌和残渣等，回收后再利用。</w:t>
                  </w:r>
                </w:p>
                <w:p>
                  <w:pPr>
                    <w:pStyle w:val="2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危废暂存间1间，建筑面积约10m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，主要暂存废活性炭、废导热油等，并委托有资质单位处置利用</w:t>
                  </w:r>
                  <w:r>
                    <w:rPr>
                      <w:rFonts w:hint="default" w:ascii="Times New Roman" w:hAnsi="Times New Roman" w:eastAsia="宋体" w:cs="Times New Roman"/>
                      <w:bCs/>
                      <w:color w:val="auto"/>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选用低噪音设备，采用基础减振、隔声等措施。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生活垃圾：垃圾桶集中收集，收集后由环卫部门统一清运。</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一般固废库1间，建筑面积约20m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，主要暂存布袋粉尘、滴漏沥青、拌和残渣等，回收后再利用。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危废暂存间1间，建筑面积约10m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，主要暂存废活性炭、废导热油等，并委托有资质单位处置利用。</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选用低噪音设备，采用基础减振、隔声等措施。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生活垃圾：垃圾桶集中收集，收集后由环卫部门统一清运。</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一般固废库1间，建筑面积约20m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，主要暂存布袋粉尘、滴漏沥青、拌和残渣等，回收后再利用。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危废暂存间1间，建筑面积约10m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vertAlign w:val="baseline"/>
                      <w:lang w:val="en-US" w:eastAsia="zh-CN"/>
                    </w:rPr>
                    <w:t>，主要暂存废活性炭、废导热油等，并委托有资质单位处置利用。</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无</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无</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五</w:t>
            </w:r>
            <w:r>
              <w:rPr>
                <w:rFonts w:hint="default" w:ascii="Times New Roman" w:hAnsi="Times New Roman" w:cs="Times New Roman"/>
                <w:b/>
                <w:bCs/>
                <w:sz w:val="24"/>
                <w:szCs w:val="24"/>
                <w:lang w:val="en-US" w:eastAsia="zh-CN"/>
              </w:rPr>
              <w:t>、原辅材料消耗及水平衡：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-1 项目原辅材料及燃料</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654"/>
              <w:gridCol w:w="1654"/>
              <w:gridCol w:w="1654"/>
              <w:gridCol w:w="1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9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沥青</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Cs w:val="21"/>
                      <w:lang w:val="en-US" w:eastAsia="zh-CN"/>
                    </w:rPr>
                    <w:t>t/a</w:t>
                  </w:r>
                </w:p>
              </w:tc>
              <w:tc>
                <w:tcPr>
                  <w:tcW w:w="1658" w:type="dxa"/>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2"/>
                      <w:lang w:val="en-US" w:eastAsia="zh-CN"/>
                    </w:rPr>
                    <w:t>1600</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石子（15-25mm）</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Cs w:val="21"/>
                      <w:lang w:val="en-US" w:eastAsia="zh-CN"/>
                    </w:rPr>
                    <w:t>t/a</w:t>
                  </w:r>
                </w:p>
              </w:tc>
              <w:tc>
                <w:tcPr>
                  <w:tcW w:w="1658" w:type="dxa"/>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2"/>
                      <w:lang w:val="en-US" w:eastAsia="zh-CN"/>
                    </w:rPr>
                    <w:t>18820</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石沙（15-25mm）</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1658" w:type="dxa"/>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2"/>
                      <w:lang w:val="en-US" w:eastAsia="zh-CN"/>
                    </w:rPr>
                    <w:t>18000</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矿粉</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1658" w:type="dxa"/>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2"/>
                      <w:lang w:val="en-US" w:eastAsia="zh-CN"/>
                    </w:rPr>
                    <w:t>1600</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水</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val="en-US" w:eastAsia="zh-CN"/>
                    </w:rPr>
                    <w:t>t/a</w:t>
                  </w:r>
                </w:p>
              </w:tc>
              <w:tc>
                <w:tcPr>
                  <w:tcW w:w="1658" w:type="dxa"/>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2"/>
                      <w:lang w:val="en-US" w:eastAsia="zh-CN"/>
                    </w:rPr>
                    <w:t>1200</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电</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Cs w:val="21"/>
                      <w:lang w:val="en-US" w:eastAsia="zh-CN"/>
                    </w:rPr>
                    <w:t>万Kwh</w:t>
                  </w:r>
                  <w:r>
                    <w:rPr>
                      <w:rFonts w:hint="default" w:ascii="Times New Roman" w:hAnsi="Times New Roman" w:cs="Times New Roman"/>
                      <w:szCs w:val="21"/>
                      <w:lang w:val="en-US" w:eastAsia="zh-CN"/>
                    </w:rPr>
                    <w:t>/a</w:t>
                  </w:r>
                </w:p>
              </w:tc>
              <w:tc>
                <w:tcPr>
                  <w:tcW w:w="1658" w:type="dxa"/>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2"/>
                      <w:lang w:val="en-US" w:eastAsia="zh-CN"/>
                    </w:rPr>
                    <w:t>4</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999" w:type="pct"/>
                  <w:tcBorders>
                    <w:tl2br w:val="nil"/>
                    <w:tr2bl w:val="nil"/>
                  </w:tcBorders>
                  <w:noWrap w:val="0"/>
                  <w:vAlign w:val="center"/>
                </w:tcPr>
                <w:p>
                  <w:pPr>
                    <w:pStyle w:val="2"/>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2"/>
                      <w:lang w:val="en-US" w:eastAsia="zh-CN"/>
                    </w:rPr>
                    <w:t>天然气</w:t>
                  </w:r>
                </w:p>
              </w:tc>
              <w:tc>
                <w:tcPr>
                  <w:tcW w:w="9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lang w:eastAsia="zh-CN"/>
                    </w:rPr>
                    <w:t>万</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999" w:type="pct"/>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w:t>
                  </w:r>
                </w:p>
              </w:tc>
              <w:tc>
                <w:tcPr>
                  <w:tcW w:w="1658" w:type="dxa"/>
                  <w:tcBorders>
                    <w:tl2br w:val="nil"/>
                    <w:tr2bl w:val="nil"/>
                  </w:tcBorders>
                  <w:noWrap w:val="0"/>
                  <w:vAlign w:val="center"/>
                </w:tcPr>
                <w:p>
                  <w:pPr>
                    <w:pStyle w:val="34"/>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-2 项目主要生产设备一览表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1974"/>
              <w:gridCol w:w="2190"/>
              <w:gridCol w:w="1708"/>
              <w:gridCol w:w="1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1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1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sz w:val="21"/>
                      <w:szCs w:val="22"/>
                      <w:lang w:val="en-US" w:eastAsia="zh-CN"/>
                    </w:rPr>
                    <w:t>沥青搅拌机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3000型</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2</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sz w:val="21"/>
                      <w:szCs w:val="22"/>
                      <w:lang w:val="en-US" w:eastAsia="zh-CN"/>
                    </w:rPr>
                    <w:t>沥青储存罐</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sz w:val="21"/>
                      <w:szCs w:val="22"/>
                      <w:lang w:val="en-US" w:eastAsia="zh-CN"/>
                    </w:rPr>
                    <w:t>50t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3</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sz w:val="21"/>
                      <w:szCs w:val="22"/>
                      <w:lang w:val="en-US" w:eastAsia="zh-CN"/>
                    </w:rPr>
                    <w:t>沥青摊铺机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4</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sz w:val="21"/>
                      <w:szCs w:val="22"/>
                      <w:lang w:val="en-US" w:eastAsia="zh-CN"/>
                    </w:rPr>
                    <w:t>密闭皮带输送机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2</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5</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sz w:val="21"/>
                      <w:szCs w:val="22"/>
                      <w:lang w:val="en-US" w:eastAsia="zh-CN"/>
                    </w:rPr>
                    <w:t>干燥滚筒</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6</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sz w:val="21"/>
                      <w:szCs w:val="22"/>
                      <w:lang w:val="en-US" w:eastAsia="zh-CN"/>
                    </w:rPr>
                    <w:t>热骨料仓</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5</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7</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sz w:val="21"/>
                      <w:szCs w:val="22"/>
                      <w:lang w:val="en-US" w:eastAsia="zh-CN"/>
                    </w:rPr>
                    <w:t>振动筛</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8</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sz w:val="21"/>
                      <w:szCs w:val="22"/>
                      <w:lang w:val="en-US" w:eastAsia="zh-CN"/>
                    </w:rPr>
                    <w:t>矿粉筒仓</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9</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成品出料系统</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10</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进口光轮压路机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11</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国家光轮压路机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12</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装载机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13</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喷油车</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14</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小型进口压路机</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15</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洒水车</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16</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工具车</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17</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其他小型工具</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lang w:val="en-US" w:eastAsia="zh-CN"/>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若干</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若干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18</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kern w:val="0"/>
                      <w:sz w:val="21"/>
                      <w:szCs w:val="22"/>
                      <w:lang w:val="en-US" w:eastAsia="zh-CN" w:bidi="ar-SA"/>
                    </w:rPr>
                    <w:t>专用沥青回收容器</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kern w:val="0"/>
                      <w:sz w:val="18"/>
                      <w:szCs w:val="20"/>
                      <w:lang w:val="en-US" w:eastAsia="zh-CN" w:bidi="ar-SA"/>
                    </w:rPr>
                    <w:t>/</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若干</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sz w:val="21"/>
                      <w:szCs w:val="22"/>
                      <w:lang w:val="en-US" w:eastAsia="zh-CN"/>
                    </w:rPr>
                    <w:t>若干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jc w:val="center"/>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rPr>
                    <w:t>19</w:t>
                  </w:r>
                </w:p>
              </w:tc>
              <w:tc>
                <w:tcPr>
                  <w:tcW w:w="19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sz w:val="21"/>
                      <w:szCs w:val="22"/>
                      <w:lang w:val="en-US" w:eastAsia="zh-CN"/>
                    </w:rPr>
                    <w:t>导热油炉</w:t>
                  </w:r>
                </w:p>
              </w:tc>
              <w:tc>
                <w:tcPr>
                  <w:tcW w:w="21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sz w:val="21"/>
                      <w:szCs w:val="22"/>
                      <w:lang w:val="en-US" w:eastAsia="zh-CN"/>
                    </w:rPr>
                    <w:t>YY(Q)W-900Y(Q)</w:t>
                  </w:r>
                  <w:r>
                    <w:rPr>
                      <w:rFonts w:hint="default" w:ascii="Times New Roman" w:hAnsi="Times New Roman" w:cs="Times New Roman"/>
                      <w:b/>
                      <w:bCs/>
                      <w:sz w:val="21"/>
                      <w:szCs w:val="22"/>
                      <w:lang w:val="en-US" w:eastAsia="zh-CN"/>
                    </w:rPr>
                    <w:t>/</w:t>
                  </w:r>
                  <w:r>
                    <w:rPr>
                      <w:rFonts w:hint="default" w:ascii="Times New Roman" w:hAnsi="Times New Roman" w:cs="Times New Roman"/>
                      <w:sz w:val="21"/>
                      <w:szCs w:val="22"/>
                      <w:lang w:val="en-US" w:eastAsia="zh-CN"/>
                    </w:rPr>
                    <w:t>1.2t/h</w:t>
                  </w:r>
                </w:p>
              </w:tc>
              <w:tc>
                <w:tcPr>
                  <w:tcW w:w="170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rPr>
                  </w:pPr>
                  <w:r>
                    <w:rPr>
                      <w:rFonts w:hint="default" w:ascii="Times New Roman" w:hAnsi="Times New Roman" w:cs="Times New Roman"/>
                      <w:lang w:val="en-US" w:eastAsia="zh-CN"/>
                    </w:rPr>
                    <w:t>1</w:t>
                  </w:r>
                </w:p>
              </w:tc>
              <w:tc>
                <w:tcPr>
                  <w:tcW w:w="16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lang w:val="en-US" w:eastAsia="zh-CN"/>
                    </w:rPr>
                    <w:t>1</w:t>
                  </w:r>
                </w:p>
              </w:tc>
            </w:tr>
          </w:tbl>
          <w:p>
            <w:pPr>
              <w:pStyle w:val="8"/>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37" w:hRule="atLeast"/>
          <w:jc w:val="center"/>
        </w:trPr>
        <w:tc>
          <w:tcPr>
            <w:tcW w:w="5000" w:type="pct"/>
            <w:tcBorders>
              <w:tl2br w:val="nil"/>
              <w:tr2bl w:val="nil"/>
            </w:tcBorders>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-3 项目产品方案一览表</w:t>
            </w:r>
          </w:p>
          <w:tbl>
            <w:tblPr>
              <w:tblStyle w:val="14"/>
              <w:tblW w:w="83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03"/>
              <w:gridCol w:w="1738"/>
              <w:gridCol w:w="1712"/>
              <w:gridCol w:w="2138"/>
              <w:gridCol w:w="20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738"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712" w:type="dxa"/>
                  <w:tcBorders>
                    <w:tl2br w:val="nil"/>
                    <w:tr2bl w:val="nil"/>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规格</w:t>
                  </w:r>
                </w:p>
              </w:tc>
              <w:tc>
                <w:tcPr>
                  <w:tcW w:w="2138" w:type="dxa"/>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环评产量</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szCs w:val="21"/>
                      <w:lang w:val="en-US" w:eastAsia="zh-CN"/>
                    </w:rPr>
                    <w:t>1</w:t>
                  </w:r>
                </w:p>
              </w:tc>
              <w:tc>
                <w:tcPr>
                  <w:tcW w:w="1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kern w:val="0"/>
                      <w:szCs w:val="21"/>
                    </w:rPr>
                  </w:pPr>
                  <w:r>
                    <w:rPr>
                      <w:rFonts w:hint="default" w:ascii="Times New Roman" w:hAnsi="Times New Roman" w:cs="Times New Roman"/>
                      <w:szCs w:val="21"/>
                      <w:lang w:eastAsia="zh-CN"/>
                    </w:rPr>
                    <w:t>沥青混凝土</w:t>
                  </w:r>
                </w:p>
              </w:tc>
              <w:tc>
                <w:tcPr>
                  <w:tcW w:w="1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21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szCs w:val="21"/>
                      <w:lang w:val="en-US" w:eastAsia="zh-CN"/>
                    </w:rPr>
                    <w:t>40000t/a</w:t>
                  </w:r>
                </w:p>
              </w:tc>
              <w:tc>
                <w:tcPr>
                  <w:tcW w:w="201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szCs w:val="21"/>
                      <w:lang w:val="en-US" w:eastAsia="zh-CN"/>
                    </w:rPr>
                    <w:t>40000t/a</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360" w:lineRule="auto"/>
              <w:ind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用水</w:t>
            </w:r>
            <w:r>
              <w:rPr>
                <w:rFonts w:hint="default" w:ascii="Times New Roman" w:hAnsi="Times New Roman" w:cs="Times New Roman"/>
                <w:color w:val="auto"/>
                <w:sz w:val="24"/>
              </w:rPr>
              <w:t>为</w:t>
            </w:r>
            <w:r>
              <w:rPr>
                <w:rFonts w:hint="eastAsia" w:ascii="Times New Roman" w:hAnsi="Times New Roman" w:cs="Times New Roman"/>
                <w:color w:val="auto"/>
                <w:sz w:val="24"/>
                <w:szCs w:val="24"/>
                <w:lang w:eastAsia="zh-CN"/>
              </w:rPr>
              <w:t>生活用水，生活污水</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地埋式污水处理装置处理后经开发区污水管网排入宜黄线污水处理站</w:t>
            </w:r>
            <w:r>
              <w:rPr>
                <w:rFonts w:hint="default" w:ascii="Times New Roman" w:hAnsi="Times New Roman" w:eastAsia="宋体" w:cs="Times New Roman"/>
                <w:color w:val="auto"/>
                <w:sz w:val="24"/>
                <w:szCs w:val="24"/>
                <w:lang w:eastAsia="zh-CN"/>
              </w:rPr>
              <w:t>，满足</w:t>
            </w:r>
            <w:r>
              <w:rPr>
                <w:rFonts w:hint="default" w:ascii="Times New Roman" w:hAnsi="Times New Roman" w:cs="Times New Roman"/>
                <w:b w:val="0"/>
                <w:bCs w:val="0"/>
                <w:color w:val="auto"/>
                <w:sz w:val="24"/>
                <w:szCs w:val="24"/>
              </w:rPr>
              <w:t>《污水综合排放标准》（GB8978-1996）中的</w:t>
            </w:r>
            <w:r>
              <w:rPr>
                <w:rFonts w:hint="default" w:ascii="Times New Roman" w:hAnsi="Times New Roman" w:cs="Times New Roman"/>
                <w:b w:val="0"/>
                <w:bCs w:val="0"/>
                <w:color w:val="auto"/>
                <w:sz w:val="24"/>
                <w:szCs w:val="24"/>
                <w:lang w:eastAsia="zh-CN"/>
              </w:rPr>
              <w:t>三</w:t>
            </w:r>
            <w:r>
              <w:rPr>
                <w:rFonts w:hint="default" w:ascii="Times New Roman" w:hAnsi="Times New Roman" w:cs="Times New Roman"/>
                <w:b w:val="0"/>
                <w:bCs w:val="0"/>
                <w:color w:val="auto"/>
                <w:sz w:val="24"/>
                <w:szCs w:val="24"/>
              </w:rPr>
              <w:t>级标准</w:t>
            </w:r>
            <w:r>
              <w:rPr>
                <w:rFonts w:hint="default" w:ascii="Times New Roman" w:hAnsi="Times New Roman" w:cs="Times New Roman"/>
                <w:b w:val="0"/>
                <w:bCs w:val="0"/>
                <w:color w:val="auto"/>
                <w:sz w:val="24"/>
                <w:szCs w:val="24"/>
                <w:lang w:eastAsia="zh-CN"/>
              </w:rPr>
              <w:t>和</w:t>
            </w:r>
            <w:r>
              <w:rPr>
                <w:rFonts w:hint="eastAsia" w:ascii="Times New Roman" w:hAnsi="Times New Roman" w:cs="Times New Roman"/>
                <w:b w:val="0"/>
                <w:bCs w:val="0"/>
                <w:color w:val="auto"/>
                <w:sz w:val="24"/>
                <w:szCs w:val="24"/>
                <w:lang w:eastAsia="zh-CN"/>
              </w:rPr>
              <w:t>宜黄线</w:t>
            </w:r>
            <w:r>
              <w:rPr>
                <w:rFonts w:hint="default" w:ascii="Times New Roman" w:hAnsi="Times New Roman" w:cs="Times New Roman"/>
                <w:b w:val="0"/>
                <w:bCs w:val="0"/>
                <w:color w:val="auto"/>
                <w:sz w:val="24"/>
                <w:szCs w:val="24"/>
                <w:lang w:eastAsia="zh-CN"/>
              </w:rPr>
              <w:t>污水处理</w:t>
            </w:r>
            <w:r>
              <w:rPr>
                <w:rFonts w:hint="eastAsia" w:ascii="Times New Roman" w:hAnsi="Times New Roman" w:cs="Times New Roman"/>
                <w:b w:val="0"/>
                <w:bCs w:val="0"/>
                <w:color w:val="auto"/>
                <w:sz w:val="24"/>
                <w:szCs w:val="24"/>
                <w:lang w:eastAsia="zh-CN"/>
              </w:rPr>
              <w:t>站</w:t>
            </w:r>
            <w:r>
              <w:rPr>
                <w:rFonts w:hint="default" w:ascii="Times New Roman" w:hAnsi="Times New Roman" w:cs="Times New Roman"/>
                <w:b w:val="0"/>
                <w:bCs w:val="0"/>
                <w:color w:val="auto"/>
                <w:sz w:val="24"/>
                <w:szCs w:val="24"/>
                <w:lang w:eastAsia="zh-CN"/>
              </w:rPr>
              <w:t>接管标准</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Cs/>
                <w:color w:val="auto"/>
                <w:sz w:val="24"/>
                <w:lang w:eastAsia="zh-CN"/>
              </w:rPr>
              <w:t>排入中津河</w:t>
            </w:r>
            <w:r>
              <w:rPr>
                <w:rFonts w:hint="default" w:ascii="Times New Roman" w:hAnsi="Times New Roman" w:cs="Times New Roman"/>
                <w:b w:val="0"/>
                <w:bCs w:val="0"/>
                <w:color w:val="auto"/>
                <w:sz w:val="24"/>
                <w:szCs w:val="24"/>
                <w:lang w:eastAsia="zh-CN"/>
              </w:rPr>
              <w:t>。</w:t>
            </w:r>
          </w:p>
          <w:p>
            <w:pPr>
              <w:adjustRightInd w:val="0"/>
              <w:snapToGrid w:val="0"/>
              <w:spacing w:line="360" w:lineRule="auto"/>
              <w:jc w:val="center"/>
              <w:rPr>
                <w:rFonts w:hint="default" w:ascii="Times New Roman" w:hAnsi="Times New Roman" w:cs="Times New Roman"/>
                <w:bCs/>
                <w:sz w:val="24"/>
              </w:rPr>
            </w:pPr>
            <w:r>
              <w:drawing>
                <wp:inline distT="0" distB="0" distL="114300" distR="114300">
                  <wp:extent cx="5253990" cy="75120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5253990" cy="751205"/>
                          </a:xfrm>
                          <a:prstGeom prst="rect">
                            <a:avLst/>
                          </a:prstGeom>
                          <a:noFill/>
                          <a:ln>
                            <a:noFill/>
                          </a:ln>
                        </pic:spPr>
                      </pic:pic>
                    </a:graphicData>
                  </a:graphic>
                </wp:inline>
              </w:drawing>
            </w:r>
            <w:r>
              <w:rPr>
                <w:rFonts w:hint="eastAsia" w:ascii="Times New Roman" w:hAnsi="Times New Roman" w:cs="Times New Roman"/>
                <w:b/>
                <w:bCs/>
                <w:sz w:val="21"/>
                <w:szCs w:val="21"/>
                <w:lang w:val="en-US" w:eastAsia="zh-CN"/>
              </w:rPr>
              <w:t>图5</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项目</w:t>
            </w:r>
            <w:r>
              <w:rPr>
                <w:rFonts w:hint="eastAsia" w:ascii="Times New Roman" w:hAnsi="Times New Roman" w:cs="Times New Roman"/>
                <w:b/>
                <w:bCs/>
                <w:sz w:val="21"/>
                <w:szCs w:val="21"/>
                <w:lang w:val="en-US" w:eastAsia="zh-CN"/>
              </w:rPr>
              <w:t>水平衡图</w:t>
            </w:r>
          </w:p>
          <w:p>
            <w:pPr>
              <w:spacing w:before="62" w:beforeLines="20" w:line="360" w:lineRule="auto"/>
              <w:jc w:val="both"/>
              <w:rPr>
                <w:rFonts w:hint="default" w:ascii="Times New Roman" w:hAnsi="Times New Roman" w:eastAsia="宋体" w:cs="Times New Roman"/>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六</w:t>
            </w:r>
            <w:r>
              <w:rPr>
                <w:rFonts w:hint="default" w:ascii="Times New Roman" w:hAnsi="Times New Roman" w:cs="Times New Roman"/>
                <w:b/>
                <w:bCs/>
                <w:sz w:val="24"/>
                <w:szCs w:val="24"/>
                <w:lang w:val="en-US" w:eastAsia="zh-CN"/>
              </w:rPr>
              <w:t>、主要工艺流程及产污环节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color w:val="auto"/>
                <w:sz w:val="24"/>
                <w:szCs w:val="24"/>
                <w:lang w:val="en-US" w:eastAsia="zh-CN"/>
              </w:rPr>
              <w:t>本项目依托原有沥青混凝土项目，工艺不发生改变，产品也不发生变化，仅对</w:t>
            </w:r>
            <w:r>
              <w:rPr>
                <w:rFonts w:hint="eastAsia" w:ascii="Times New Roman" w:hAnsi="Times New Roman" w:cs="Times New Roman"/>
                <w:color w:val="auto"/>
                <w:sz w:val="24"/>
                <w:szCs w:val="24"/>
                <w:lang w:val="en-US" w:eastAsia="zh-CN"/>
              </w:rPr>
              <w:t>导热油炉</w:t>
            </w:r>
            <w:r>
              <w:rPr>
                <w:rFonts w:hint="default" w:ascii="Times New Roman" w:hAnsi="Times New Roman" w:cs="Times New Roman"/>
                <w:color w:val="auto"/>
                <w:sz w:val="24"/>
                <w:szCs w:val="24"/>
                <w:lang w:val="en-US" w:eastAsia="zh-CN"/>
              </w:rPr>
              <w:t>进行改造，由于现有电加热炉不能满足产品的温控要求，将原电加热炉处理工艺改为天然气加热，</w:t>
            </w:r>
            <w:r>
              <w:rPr>
                <w:rFonts w:hint="default" w:ascii="Times New Roman" w:hAnsi="Times New Roman" w:eastAsia="宋体" w:cs="Times New Roman"/>
                <w:sz w:val="24"/>
                <w:szCs w:val="24"/>
              </w:rPr>
              <w:t>工艺流程如下图所示：</w:t>
            </w:r>
          </w:p>
          <w:p>
            <w:pPr>
              <w:adjustRightInd w:val="0"/>
              <w:snapToGrid w:val="0"/>
              <w:jc w:val="center"/>
              <w:rPr>
                <w:rFonts w:hint="default" w:ascii="Times New Roman" w:hAnsi="Times New Roman" w:eastAsia="宋体" w:cs="Times New Roman"/>
                <w:lang w:eastAsia="zh-CN"/>
              </w:rPr>
            </w:pPr>
            <w:r>
              <w:drawing>
                <wp:inline distT="0" distB="0" distL="114300" distR="114300">
                  <wp:extent cx="5055235" cy="5713730"/>
                  <wp:effectExtent l="0" t="0" r="1206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055235" cy="571373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bCs w:val="0"/>
                <w:sz w:val="21"/>
                <w:szCs w:val="21"/>
                <w:lang w:eastAsia="zh-CN"/>
              </w:rPr>
            </w:pPr>
            <w:r>
              <w:rPr>
                <w:rFonts w:hint="default" w:ascii="Times New Roman" w:hAnsi="Times New Roman" w:cs="Times New Roman"/>
                <w:b/>
                <w:bCs w:val="0"/>
                <w:sz w:val="21"/>
                <w:szCs w:val="21"/>
                <w:lang w:eastAsia="zh-CN"/>
              </w:rPr>
              <w:t>图</w:t>
            </w:r>
            <w:r>
              <w:rPr>
                <w:rFonts w:hint="eastAsia" w:ascii="Times New Roman" w:hAnsi="Times New Roman" w:cs="Times New Roman"/>
                <w:b/>
                <w:bCs w:val="0"/>
                <w:sz w:val="21"/>
                <w:szCs w:val="21"/>
                <w:lang w:val="en-US" w:eastAsia="zh-CN"/>
              </w:rPr>
              <w:t>6</w:t>
            </w:r>
            <w:r>
              <w:rPr>
                <w:rFonts w:hint="default" w:ascii="Times New Roman" w:hAnsi="Times New Roman" w:cs="Times New Roman"/>
                <w:b/>
                <w:bCs w:val="0"/>
                <w:sz w:val="21"/>
                <w:szCs w:val="21"/>
                <w:lang w:val="en-US" w:eastAsia="zh-CN"/>
              </w:rPr>
              <w:t xml:space="preserve">-1 </w:t>
            </w:r>
            <w:r>
              <w:rPr>
                <w:rFonts w:hint="default" w:ascii="Times New Roman" w:hAnsi="Times New Roman" w:eastAsia="宋体" w:cs="Times New Roman"/>
                <w:b/>
                <w:bCs w:val="0"/>
                <w:sz w:val="21"/>
                <w:szCs w:val="21"/>
                <w:lang w:eastAsia="zh-CN"/>
              </w:rPr>
              <w:t>生产工艺流程</w:t>
            </w:r>
            <w:r>
              <w:rPr>
                <w:rFonts w:hint="default" w:ascii="Times New Roman" w:hAnsi="Times New Roman" w:cs="Times New Roman"/>
                <w:b/>
                <w:bCs w:val="0"/>
                <w:sz w:val="21"/>
                <w:szCs w:val="21"/>
                <w:lang w:eastAsia="zh-CN"/>
              </w:rPr>
              <w:t>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（1）石子、石沙预处理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石子、沙子按比例配比经上料系统进入密闭皮带输送机输送至滚筒干燥机内进行干燥，密闭输送过程无粉尘逸散。通过振动筛将骨料筛分成沥青搅拌所用粒径大小的骨料。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（2）沥青预处理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购入沥青储存于50t沥青储存罐（一套）中，采用导热油炉对沥青进行加热处理，使其软化，加热装置热源采用天然气，加热温度控制在150℃-160℃，除去少量水分。该工序会产生天然气燃烧废气。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）矿粉的储存、输送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本项目外购的矿粉为粉状物料，由密闭罐车运输入厂后经气泵打入密闭式筒仓内，每座筒仓仓底均设有计量装置，粉状物料按微机设定好的比例称重后，通过管道内置螺旋铰刀送入搅拌机配料仓内。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）计量、搅拌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sz w:val="24"/>
                <w:szCs w:val="24"/>
                <w:lang w:eastAsia="zh-CN"/>
              </w:rPr>
              <w:t>将石子、砂子、矿粉以及沥青导入拌和楼中进行搅拌，用导热油炉加热沥青使其温度控制在160℃-180℃，与碎石进行搅拌均匀后（采用全封闭进料及搅拌），储存于保温成品库内后装车用于铺路，在生产过程中会产生滴漏沥青和拌和残渣，指定专人在沥青滴漏处和拌和残渣泄露处用专用容器接装，专门堆置后回收利用。</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76672" behindDoc="0" locked="0" layoutInCell="1" allowOverlap="1">
            <wp:simplePos x="0" y="0"/>
            <wp:positionH relativeFrom="column">
              <wp:posOffset>7502525</wp:posOffset>
            </wp:positionH>
            <wp:positionV relativeFrom="paragraph">
              <wp:posOffset>106680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8"/>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3212465</wp:posOffset>
                </wp:positionH>
                <wp:positionV relativeFrom="paragraph">
                  <wp:posOffset>4931410</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图6-2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95pt;margin-top:388.3pt;height:23.75pt;width:149.3pt;z-index:251660288;mso-width-relative:page;mso-height-relative:page;" fillcolor="#FFFFFF [3201]" filled="t" stroked="t" coordsize="21600,21600" o:gfxdata="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y8rJ3QAAAAsBAAAPAAAAAAAAAAEAIAAAACIAAABkcnMvZG93bnJldi54bWxQ&#10;SwECFAAUAAAACACHTuJA71tCl2QCAADVBAAADgAAAAAAAAABACAAAAAs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图6-2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rPr>
          <w:rFonts w:hint="eastAsia" w:eastAsia="宋体"/>
          <w:lang w:eastAsia="zh-CN"/>
        </w:rPr>
        <w:drawing>
          <wp:inline distT="0" distB="0" distL="114300" distR="114300">
            <wp:extent cx="8375015" cy="4755515"/>
            <wp:effectExtent l="0" t="0" r="6985" b="6985"/>
            <wp:docPr id="13" name="图片 3" descr="e12309c4d85660e700eeab0bde3e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e12309c4d85660e700eeab0bde3eda5"/>
                    <pic:cNvPicPr>
                      <a:picLocks noChangeAspect="1"/>
                    </pic:cNvPicPr>
                  </pic:nvPicPr>
                  <pic:blipFill>
                    <a:blip r:embed="rId9"/>
                    <a:stretch>
                      <a:fillRect/>
                    </a:stretch>
                  </pic:blipFill>
                  <pic:spPr>
                    <a:xfrm>
                      <a:off x="0" y="0"/>
                      <a:ext cx="8375015" cy="4755515"/>
                    </a:xfrm>
                    <a:prstGeom prst="rect">
                      <a:avLst/>
                    </a:prstGeom>
                    <a:noFill/>
                    <a:ln>
                      <a:noFill/>
                    </a:ln>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4624" behindDoc="0" locked="0" layoutInCell="1" allowOverlap="1">
                <wp:simplePos x="0" y="0"/>
                <wp:positionH relativeFrom="column">
                  <wp:posOffset>3451860</wp:posOffset>
                </wp:positionH>
                <wp:positionV relativeFrom="paragraph">
                  <wp:posOffset>5377180</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图6-3 </w:t>
                            </w:r>
                            <w:r>
                              <w:rPr>
                                <w:rFonts w:hint="default"/>
                                <w:b/>
                                <w:bCs/>
                                <w:sz w:val="21"/>
                                <w:szCs w:val="21"/>
                                <w:lang w:val="en-US" w:eastAsia="zh-CN"/>
                              </w:rPr>
                              <w:t>厂区</w:t>
                            </w:r>
                            <w:r>
                              <w:rPr>
                                <w:rFonts w:hint="eastAsia"/>
                                <w:b/>
                                <w:bCs/>
                                <w:sz w:val="21"/>
                                <w:szCs w:val="21"/>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8pt;margin-top:423.4pt;height:23.75pt;width:145.65pt;z-index:251674624;mso-width-relative:page;mso-height-relative:page;" fillcolor="#FFFFFF [3201]" filled="t" stroked="t" coordsize="21600,21600" o:gfxdata="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1j5IdwAAAALAQAADwAAAAAAAAABACAAAAAiAAAAZHJzL2Rvd25yZXYueG1s&#10;UEsBAhQAFAAAAAgAh07iQID4Z8xmAgAA1wQAAA4AAAAAAAAAAQAgAAAAKwEAAGRycy9lMm9Eb2Mu&#10;eG1sUEsFBgAAAAAGAAYAWQEAAAMGA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图6-3 </w:t>
                      </w:r>
                      <w:r>
                        <w:rPr>
                          <w:rFonts w:hint="default"/>
                          <w:b/>
                          <w:bCs/>
                          <w:sz w:val="21"/>
                          <w:szCs w:val="21"/>
                          <w:lang w:val="en-US" w:eastAsia="zh-CN"/>
                        </w:rPr>
                        <w:t>厂区</w:t>
                      </w:r>
                      <w:r>
                        <w:rPr>
                          <w:rFonts w:hint="eastAsia"/>
                          <w:b/>
                          <w:bCs/>
                          <w:sz w:val="21"/>
                          <w:szCs w:val="21"/>
                          <w:lang w:val="en-US" w:eastAsia="zh-CN"/>
                        </w:rPr>
                        <w:t>平面布置图</w:t>
                      </w:r>
                    </w:p>
                    <w:p/>
                  </w:txbxContent>
                </v:textbox>
              </v:shape>
            </w:pict>
          </mc:Fallback>
        </mc:AlternateContent>
      </w:r>
      <w:r>
        <w:drawing>
          <wp:anchor distT="0" distB="0" distL="114300" distR="114300" simplePos="0" relativeHeight="251675648" behindDoc="0" locked="0" layoutInCell="1" allowOverlap="1">
            <wp:simplePos x="0" y="0"/>
            <wp:positionH relativeFrom="column">
              <wp:posOffset>7480935</wp:posOffset>
            </wp:positionH>
            <wp:positionV relativeFrom="paragraph">
              <wp:posOffset>120650</wp:posOffset>
            </wp:positionV>
            <wp:extent cx="848995" cy="942975"/>
            <wp:effectExtent l="0" t="0" r="8255" b="952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8"/>
                    <a:stretch>
                      <a:fillRect/>
                    </a:stretch>
                  </pic:blipFill>
                  <pic:spPr>
                    <a:xfrm>
                      <a:off x="0" y="0"/>
                      <a:ext cx="848995" cy="942975"/>
                    </a:xfrm>
                    <a:prstGeom prst="rect">
                      <a:avLst/>
                    </a:prstGeom>
                    <a:noFill/>
                    <a:ln>
                      <a:noFill/>
                    </a:ln>
                  </pic:spPr>
                </pic:pic>
              </a:graphicData>
            </a:graphic>
          </wp:anchor>
        </w:drawing>
      </w:r>
      <w:r>
        <w:drawing>
          <wp:inline distT="0" distB="0" distL="114300" distR="114300">
            <wp:extent cx="6667500" cy="5166360"/>
            <wp:effectExtent l="0" t="0" r="0" b="152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6667500" cy="5166360"/>
                    </a:xfrm>
                    <a:prstGeom prst="rect">
                      <a:avLst/>
                    </a:prstGeom>
                    <a:noFill/>
                    <a:ln>
                      <a:noFill/>
                    </a:ln>
                  </pic:spPr>
                </pic:pic>
              </a:graphicData>
            </a:graphic>
          </wp:inline>
        </w:drawing>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七、</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本项目废水主要为生活污水。生活污水经地埋式污水处理装置处理达标后</w:t>
            </w:r>
            <w:r>
              <w:rPr>
                <w:rFonts w:hint="eastAsia" w:ascii="Times New Roman" w:hAnsi="Times New Roman" w:cs="Times New Roman"/>
                <w:color w:val="auto"/>
                <w:sz w:val="24"/>
                <w:szCs w:val="24"/>
                <w:lang w:eastAsia="zh-CN"/>
              </w:rPr>
              <w:t>经开发区污水管网</w:t>
            </w:r>
            <w:r>
              <w:rPr>
                <w:rFonts w:hint="default" w:ascii="Times New Roman" w:hAnsi="Times New Roman" w:cs="Times New Roman"/>
                <w:color w:val="auto"/>
                <w:sz w:val="24"/>
                <w:szCs w:val="24"/>
              </w:rPr>
              <w:t>排入</w:t>
            </w:r>
            <w:r>
              <w:rPr>
                <w:rFonts w:hint="eastAsia" w:ascii="Times New Roman" w:hAnsi="Times New Roman" w:cs="Times New Roman"/>
                <w:color w:val="auto"/>
                <w:sz w:val="24"/>
                <w:szCs w:val="24"/>
                <w:lang w:eastAsia="zh-CN"/>
              </w:rPr>
              <w:t>宜黄线污水处理站</w:t>
            </w:r>
            <w:r>
              <w:rPr>
                <w:rFonts w:hint="default" w:ascii="Times New Roman" w:hAnsi="Times New Roman" w:cs="Times New Roman"/>
                <w:color w:val="auto"/>
                <w:sz w:val="24"/>
                <w:szCs w:val="24"/>
              </w:rPr>
              <w:t>，处理达标后尾水排入中津河</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锅炉</w:t>
            </w:r>
            <w:r>
              <w:rPr>
                <w:rFonts w:hint="default" w:ascii="Times New Roman" w:hAnsi="Times New Roman" w:cs="Times New Roman"/>
                <w:color w:val="auto"/>
                <w:sz w:val="24"/>
                <w:szCs w:val="24"/>
                <w:lang w:val="en-US" w:eastAsia="zh-CN"/>
              </w:rPr>
              <w:t>产生的</w:t>
            </w:r>
            <w:r>
              <w:rPr>
                <w:rFonts w:hint="eastAsia" w:ascii="Times New Roman" w:hAnsi="Times New Roman" w:cs="Times New Roman"/>
                <w:color w:val="auto"/>
                <w:sz w:val="24"/>
                <w:lang w:eastAsia="zh-CN"/>
              </w:rPr>
              <w:t>天然气燃烧</w:t>
            </w:r>
            <w:r>
              <w:rPr>
                <w:rFonts w:hint="default" w:ascii="Times New Roman" w:hAnsi="Times New Roman" w:cs="Times New Roman"/>
                <w:color w:val="auto"/>
                <w:sz w:val="24"/>
                <w:lang w:eastAsia="zh-CN"/>
              </w:rPr>
              <w:t>废气经低氮燃烧器处理后，通过一根</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lang w:eastAsia="zh-CN"/>
              </w:rPr>
              <w:t>m排气筒（DA001）排放。</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7960" cy="3950970"/>
                  <wp:effectExtent l="0" t="0" r="8890" b="11430"/>
                  <wp:docPr id="12" name="图片 12" descr="8600801a184ba7c8133e4008fa1b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600801a184ba7c8133e4008fa1b364"/>
                          <pic:cNvPicPr>
                            <a:picLocks noChangeAspect="1"/>
                          </pic:cNvPicPr>
                        </pic:nvPicPr>
                        <pic:blipFill>
                          <a:blip r:embed="rId11"/>
                          <a:stretch>
                            <a:fillRect/>
                          </a:stretch>
                        </pic:blipFill>
                        <pic:spPr>
                          <a:xfrm>
                            <a:off x="0" y="0"/>
                            <a:ext cx="5267960" cy="395097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图7-1 锅炉废气处理设施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rFonts w:hint="eastAsia"/>
                <w:color w:val="000000"/>
                <w:sz w:val="24"/>
                <w:lang w:val="en-US" w:eastAsia="zh-CN"/>
              </w:rPr>
              <w:t>锅炉</w:t>
            </w:r>
            <w:r>
              <w:rPr>
                <w:color w:val="000000"/>
                <w:sz w:val="24"/>
              </w:rPr>
              <w:t>、</w:t>
            </w:r>
            <w:r>
              <w:rPr>
                <w:rFonts w:hint="eastAsia"/>
                <w:color w:val="000000"/>
                <w:sz w:val="24"/>
              </w:rPr>
              <w:t>风机</w:t>
            </w:r>
            <w:r>
              <w:rPr>
                <w:rFonts w:hint="default" w:ascii="Times New Roman" w:hAnsi="Times New Roman" w:eastAsia="宋体" w:cs="Times New Roman"/>
                <w:color w:val="auto"/>
                <w:sz w:val="24"/>
                <w:szCs w:val="24"/>
                <w:lang w:eastAsia="zh-CN"/>
              </w:rPr>
              <w:t>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一般固废有布袋收尘、沉淀泥沙、滴漏沥青、拌和残渣、生活垃圾，危险废物有废活性炭、废导热油</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2023年4月安徽华仁路桥工程有限公司与安徽浩悦生态环境科技有限责任公司签订危废委托处置合同，</w:t>
            </w:r>
            <w:r>
              <w:rPr>
                <w:rFonts w:hint="eastAsia"/>
                <w:sz w:val="24"/>
                <w:szCs w:val="24"/>
              </w:rPr>
              <w:t>项目产生的固废经采取措施后，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-1 项目固体废物产生及处理情况表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798"/>
              <w:gridCol w:w="1866"/>
              <w:gridCol w:w="1294"/>
              <w:gridCol w:w="1294"/>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031"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1070"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固废代码</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742" w:type="pct"/>
                  <w:tcBorders>
                    <w:top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s="Times New Roman"/>
                      <w:sz w:val="21"/>
                      <w:szCs w:val="21"/>
                      <w:lang w:eastAsia="zh-CN"/>
                    </w:rPr>
                  </w:pPr>
                  <w:r>
                    <w:rPr>
                      <w:rFonts w:hint="eastAsia" w:eastAsia="宋体" w:cs="Times New Roman"/>
                      <w:sz w:val="21"/>
                      <w:szCs w:val="21"/>
                      <w:lang w:eastAsia="zh-CN"/>
                    </w:rPr>
                    <w:t>已产生量（</w:t>
                  </w:r>
                  <w:r>
                    <w:rPr>
                      <w:rFonts w:hint="eastAsia" w:eastAsia="宋体" w:cs="Times New Roman"/>
                      <w:sz w:val="21"/>
                      <w:szCs w:val="21"/>
                      <w:lang w:val="en-US" w:eastAsia="zh-CN"/>
                    </w:rPr>
                    <w:t>t</w:t>
                  </w:r>
                  <w:r>
                    <w:rPr>
                      <w:rFonts w:hint="eastAsia" w:eastAsia="宋体" w:cs="Times New Roman"/>
                      <w:sz w:val="21"/>
                      <w:szCs w:val="21"/>
                      <w:lang w:eastAsia="zh-CN"/>
                    </w:rPr>
                    <w:t>）</w:t>
                  </w:r>
                </w:p>
              </w:tc>
              <w:tc>
                <w:tcPr>
                  <w:tcW w:w="742"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年</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933"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031" w:type="pct"/>
                  <w:vAlign w:val="center"/>
                </w:tcPr>
                <w:p>
                  <w:pPr>
                    <w:pStyle w:val="33"/>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布袋收集粉尘</w:t>
                  </w:r>
                </w:p>
              </w:tc>
              <w:tc>
                <w:tcPr>
                  <w:tcW w:w="1070" w:type="pct"/>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302</w:t>
                  </w:r>
                  <w:r>
                    <w:rPr>
                      <w:rFonts w:ascii="Times New Roman" w:hAnsi="Times New Roman" w:eastAsia="宋体" w:cs="Times New Roman"/>
                      <w:color w:val="auto"/>
                      <w:sz w:val="21"/>
                      <w:szCs w:val="21"/>
                    </w:rPr>
                    <w:t>-999-</w:t>
                  </w:r>
                  <w:r>
                    <w:rPr>
                      <w:rFonts w:hint="eastAsia" w:ascii="Times New Roman" w:hAnsi="Times New Roman" w:eastAsia="宋体" w:cs="Times New Roman"/>
                      <w:color w:val="auto"/>
                      <w:sz w:val="21"/>
                      <w:szCs w:val="21"/>
                      <w:lang w:val="en-US" w:eastAsia="zh-CN"/>
                    </w:rPr>
                    <w:t>66-0001</w:t>
                  </w:r>
                </w:p>
              </w:tc>
              <w:tc>
                <w:tcPr>
                  <w:tcW w:w="742" w:type="pct"/>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93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粉尘收集后用于铺路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1031" w:type="pct"/>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ascii="Times New Roman" w:hAnsi="Times New Roman"/>
                      <w:color w:val="auto"/>
                      <w:sz w:val="21"/>
                      <w:szCs w:val="21"/>
                    </w:rPr>
                    <w:t>沉淀泥沙</w:t>
                  </w:r>
                </w:p>
              </w:tc>
              <w:tc>
                <w:tcPr>
                  <w:tcW w:w="1070"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302</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-0002</w:t>
                  </w:r>
                </w:p>
              </w:tc>
              <w:tc>
                <w:tcPr>
                  <w:tcW w:w="742"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0.205</w:t>
                  </w:r>
                </w:p>
              </w:tc>
              <w:tc>
                <w:tcPr>
                  <w:tcW w:w="933"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w:t>
                  </w:r>
                  <w:r>
                    <w:rPr>
                      <w:rFonts w:hint="default" w:ascii="Times New Roman" w:hAnsi="Times New Roman" w:eastAsia="宋体" w:cs="Times New Roman"/>
                      <w:sz w:val="21"/>
                      <w:szCs w:val="21"/>
                      <w:lang w:val="en-US" w:eastAsia="zh-CN"/>
                    </w:rPr>
                    <w:t>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031" w:type="pct"/>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滴漏沥青</w:t>
                  </w:r>
                  <w:r>
                    <w:rPr>
                      <w:rFonts w:hint="eastAsia" w:eastAsia="宋体"/>
                      <w:color w:val="auto"/>
                      <w:sz w:val="21"/>
                      <w:szCs w:val="21"/>
                      <w:lang w:eastAsia="zh-CN"/>
                    </w:rPr>
                    <w:t>、</w:t>
                  </w:r>
                  <w:r>
                    <w:rPr>
                      <w:rFonts w:hint="eastAsia" w:ascii="Times New Roman" w:hAnsi="Times New Roman"/>
                      <w:color w:val="auto"/>
                      <w:sz w:val="21"/>
                      <w:szCs w:val="21"/>
                    </w:rPr>
                    <w:t>拌和残渣</w:t>
                  </w:r>
                </w:p>
              </w:tc>
              <w:tc>
                <w:tcPr>
                  <w:tcW w:w="1070"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302</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-0003</w:t>
                  </w:r>
                </w:p>
              </w:tc>
              <w:tc>
                <w:tcPr>
                  <w:tcW w:w="742"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742" w:type="pct"/>
                  <w:vAlign w:val="center"/>
                </w:tcPr>
                <w:p>
                  <w:pPr>
                    <w:pStyle w:val="36"/>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0.045</w:t>
                  </w:r>
                </w:p>
              </w:tc>
              <w:tc>
                <w:tcPr>
                  <w:tcW w:w="933"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4</w:t>
                  </w:r>
                </w:p>
              </w:tc>
              <w:tc>
                <w:tcPr>
                  <w:tcW w:w="1031" w:type="pct"/>
                  <w:vAlign w:val="center"/>
                </w:tcPr>
                <w:p>
                  <w:pPr>
                    <w:pStyle w:val="36"/>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废活性炭</w:t>
                  </w:r>
                </w:p>
              </w:tc>
              <w:tc>
                <w:tcPr>
                  <w:tcW w:w="1070" w:type="pct"/>
                  <w:vAlign w:val="center"/>
                </w:tcPr>
                <w:p>
                  <w:pPr>
                    <w:pStyle w:val="36"/>
                    <w:snapToGrid w:val="0"/>
                    <w:rPr>
                      <w:rFonts w:hint="eastAsia" w:eastAsia="宋体" w:cs="Times New Roman"/>
                      <w:sz w:val="21"/>
                      <w:szCs w:val="21"/>
                      <w:lang w:eastAsia="zh-CN"/>
                    </w:rPr>
                  </w:pPr>
                  <w:r>
                    <w:rPr>
                      <w:rFonts w:ascii="Times New Roman" w:hAnsi="Times New Roman"/>
                      <w:color w:val="auto"/>
                      <w:sz w:val="21"/>
                      <w:szCs w:val="21"/>
                    </w:rPr>
                    <w:t>HW49</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900-039-49</w:t>
                  </w:r>
                </w:p>
              </w:tc>
              <w:tc>
                <w:tcPr>
                  <w:tcW w:w="742" w:type="pct"/>
                  <w:vAlign w:val="center"/>
                </w:tcPr>
                <w:p>
                  <w:pPr>
                    <w:pStyle w:val="36"/>
                    <w:snapToGrid w:val="0"/>
                    <w:rPr>
                      <w:rFonts w:hint="eastAsia" w:ascii="Times New Roman" w:hAnsi="Times New Roman" w:eastAsiaTheme="minorEastAsia"/>
                      <w:color w:val="auto"/>
                      <w:sz w:val="21"/>
                      <w:szCs w:val="21"/>
                      <w:lang w:eastAsia="zh-CN"/>
                    </w:rPr>
                  </w:pPr>
                  <w:r>
                    <w:rPr>
                      <w:rFonts w:hint="eastAsia" w:ascii="Times New Roman" w:hAnsi="Times New Roman"/>
                      <w:color w:val="auto"/>
                      <w:sz w:val="21"/>
                      <w:szCs w:val="21"/>
                      <w:lang w:eastAsia="zh-CN"/>
                    </w:rPr>
                    <w:t>未产生</w:t>
                  </w:r>
                </w:p>
              </w:tc>
              <w:tc>
                <w:tcPr>
                  <w:tcW w:w="742" w:type="pct"/>
                  <w:vAlign w:val="center"/>
                </w:tcPr>
                <w:p>
                  <w:pPr>
                    <w:pStyle w:val="36"/>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1.5</w:t>
                  </w:r>
                </w:p>
              </w:tc>
              <w:tc>
                <w:tcPr>
                  <w:tcW w:w="93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委托安徽浩悦生态环境科技有限责任公司处置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tcBorders>
                  <w:vAlign w:val="center"/>
                </w:tcPr>
                <w:p>
                  <w:pPr>
                    <w:pStyle w:val="33"/>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5</w:t>
                  </w:r>
                </w:p>
              </w:tc>
              <w:tc>
                <w:tcPr>
                  <w:tcW w:w="1031" w:type="pct"/>
                  <w:vAlign w:val="center"/>
                </w:tcPr>
                <w:p>
                  <w:pPr>
                    <w:pStyle w:val="36"/>
                    <w:snapToGrid w:val="0"/>
                    <w:rPr>
                      <w:rFonts w:hint="eastAsia" w:ascii="Times New Roman" w:hAnsi="Times New Roman" w:eastAsiaTheme="minorEastAsia" w:cstheme="minorBidi"/>
                      <w:color w:val="auto"/>
                      <w:kern w:val="24"/>
                      <w:sz w:val="21"/>
                      <w:szCs w:val="21"/>
                      <w:lang w:val="en-US" w:eastAsia="zh-CN" w:bidi="ar-SA"/>
                    </w:rPr>
                  </w:pPr>
                  <w:r>
                    <w:rPr>
                      <w:rFonts w:hint="eastAsia" w:ascii="Times New Roman" w:hAnsi="Times New Roman"/>
                      <w:color w:val="auto"/>
                      <w:sz w:val="21"/>
                      <w:szCs w:val="21"/>
                    </w:rPr>
                    <w:t>废导热油</w:t>
                  </w:r>
                </w:p>
              </w:tc>
              <w:tc>
                <w:tcPr>
                  <w:tcW w:w="1070" w:type="pct"/>
                  <w:vAlign w:val="center"/>
                </w:tcPr>
                <w:p>
                  <w:pPr>
                    <w:pStyle w:val="36"/>
                    <w:snapToGrid w:val="0"/>
                    <w:rPr>
                      <w:rFonts w:hint="default" w:ascii="Times New Roman" w:hAnsi="Times New Roman" w:eastAsiaTheme="minorEastAsia" w:cstheme="minorBidi"/>
                      <w:color w:val="auto"/>
                      <w:kern w:val="24"/>
                      <w:sz w:val="21"/>
                      <w:szCs w:val="21"/>
                      <w:lang w:val="en-US" w:eastAsia="zh-CN" w:bidi="ar-SA"/>
                    </w:rPr>
                  </w:pPr>
                  <w:r>
                    <w:rPr>
                      <w:rFonts w:ascii="Times New Roman" w:hAnsi="Times New Roman"/>
                      <w:color w:val="auto"/>
                      <w:sz w:val="21"/>
                      <w:szCs w:val="21"/>
                    </w:rPr>
                    <w:t>HW</w:t>
                  </w:r>
                  <w:r>
                    <w:rPr>
                      <w:rFonts w:hint="eastAsia" w:ascii="Times New Roman" w:hAnsi="Times New Roman"/>
                      <w:color w:val="auto"/>
                      <w:sz w:val="21"/>
                      <w:szCs w:val="21"/>
                      <w:lang w:val="en-US" w:eastAsia="zh-CN"/>
                    </w:rPr>
                    <w:t xml:space="preserve">08 </w:t>
                  </w:r>
                  <w:r>
                    <w:rPr>
                      <w:rFonts w:ascii="Times New Roman" w:hAnsi="Times New Roman"/>
                      <w:color w:val="auto"/>
                      <w:sz w:val="21"/>
                      <w:szCs w:val="21"/>
                    </w:rPr>
                    <w:t>900-</w:t>
                  </w:r>
                  <w:r>
                    <w:rPr>
                      <w:rFonts w:hint="eastAsia" w:ascii="Times New Roman" w:hAnsi="Times New Roman"/>
                      <w:color w:val="auto"/>
                      <w:sz w:val="21"/>
                      <w:szCs w:val="21"/>
                      <w:lang w:val="en-US" w:eastAsia="zh-CN"/>
                    </w:rPr>
                    <w:t>24</w:t>
                  </w:r>
                  <w:r>
                    <w:rPr>
                      <w:rFonts w:ascii="Times New Roman" w:hAnsi="Times New Roman"/>
                      <w:color w:val="auto"/>
                      <w:sz w:val="21"/>
                      <w:szCs w:val="21"/>
                    </w:rPr>
                    <w:t>9-</w:t>
                  </w:r>
                  <w:r>
                    <w:rPr>
                      <w:rFonts w:hint="eastAsia" w:ascii="Times New Roman" w:hAnsi="Times New Roman"/>
                      <w:color w:val="auto"/>
                      <w:sz w:val="21"/>
                      <w:szCs w:val="21"/>
                      <w:lang w:val="en-US" w:eastAsia="zh-CN"/>
                    </w:rPr>
                    <w:t>08</w:t>
                  </w:r>
                </w:p>
              </w:tc>
              <w:tc>
                <w:tcPr>
                  <w:tcW w:w="742" w:type="pct"/>
                  <w:vAlign w:val="center"/>
                </w:tcPr>
                <w:p>
                  <w:pPr>
                    <w:pStyle w:val="36"/>
                    <w:snapToGrid w:val="0"/>
                    <w:rPr>
                      <w:rFonts w:hint="eastAsia" w:ascii="Times New Roman" w:hAnsi="Times New Roman" w:eastAsiaTheme="minorEastAsia" w:cstheme="minorBidi"/>
                      <w:color w:val="auto"/>
                      <w:kern w:val="24"/>
                      <w:sz w:val="21"/>
                      <w:szCs w:val="21"/>
                      <w:lang w:val="en-US" w:eastAsia="zh-CN" w:bidi="ar-SA"/>
                    </w:rPr>
                  </w:pPr>
                  <w:r>
                    <w:rPr>
                      <w:rFonts w:hint="eastAsia" w:ascii="Times New Roman" w:hAnsi="Times New Roman"/>
                      <w:color w:val="auto"/>
                      <w:sz w:val="21"/>
                      <w:szCs w:val="21"/>
                      <w:lang w:eastAsia="zh-CN"/>
                    </w:rPr>
                    <w:t>未产生</w:t>
                  </w:r>
                </w:p>
              </w:tc>
              <w:tc>
                <w:tcPr>
                  <w:tcW w:w="742" w:type="pct"/>
                  <w:vAlign w:val="center"/>
                </w:tcPr>
                <w:p>
                  <w:pPr>
                    <w:pStyle w:val="36"/>
                    <w:snapToGrid w:val="0"/>
                    <w:rPr>
                      <w:rFonts w:hint="eastAsia" w:ascii="Times New Roman" w:hAnsi="Times New Roman" w:eastAsia="宋体" w:cs="Times New Roman"/>
                      <w:kern w:val="24"/>
                      <w:sz w:val="21"/>
                      <w:szCs w:val="21"/>
                      <w:lang w:val="en-US" w:eastAsia="zh-CN" w:bidi="ar-SA"/>
                    </w:rPr>
                  </w:pPr>
                  <w:r>
                    <w:rPr>
                      <w:rFonts w:hint="eastAsia" w:ascii="Times New Roman" w:hAnsi="Times New Roman" w:eastAsia="宋体" w:cs="Times New Roman"/>
                      <w:sz w:val="21"/>
                      <w:szCs w:val="21"/>
                      <w:lang w:val="en-US" w:eastAsia="zh-CN"/>
                    </w:rPr>
                    <w:t>1.67</w:t>
                  </w:r>
                </w:p>
              </w:tc>
              <w:tc>
                <w:tcPr>
                  <w:tcW w:w="93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031" w:type="pct"/>
                  <w:tcBorders>
                    <w:bottom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1070" w:type="pct"/>
                  <w:tcBorders>
                    <w:bottom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742" w:type="pct"/>
                  <w:tcBorders>
                    <w:bottom w:val="single" w:color="auto" w:sz="12" w:space="0"/>
                  </w:tcBorders>
                  <w:vAlign w:val="center"/>
                </w:tcPr>
                <w:p>
                  <w:pPr>
                    <w:pStyle w:val="33"/>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1</w:t>
                  </w:r>
                </w:p>
              </w:tc>
              <w:tc>
                <w:tcPr>
                  <w:tcW w:w="742"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33"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879725" cy="5025390"/>
                  <wp:effectExtent l="0" t="0" r="15875" b="3810"/>
                  <wp:docPr id="17" name="图片 17" descr="c234d51048e9a5c3f53e8323fcb9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234d51048e9a5c3f53e8323fcb9d0f"/>
                          <pic:cNvPicPr>
                            <a:picLocks noChangeAspect="1"/>
                          </pic:cNvPicPr>
                        </pic:nvPicPr>
                        <pic:blipFill>
                          <a:blip r:embed="rId12"/>
                          <a:srcRect r="23563"/>
                          <a:stretch>
                            <a:fillRect/>
                          </a:stretch>
                        </pic:blipFill>
                        <pic:spPr>
                          <a:xfrm>
                            <a:off x="0" y="0"/>
                            <a:ext cx="2879725" cy="5025390"/>
                          </a:xfrm>
                          <a:prstGeom prst="rect">
                            <a:avLst/>
                          </a:prstGeom>
                        </pic:spPr>
                      </pic:pic>
                    </a:graphicData>
                  </a:graphic>
                </wp:inline>
              </w:drawing>
            </w:r>
            <w:r>
              <w:rPr>
                <w:rFonts w:hint="eastAsia" w:eastAsiaTheme="minorEastAsia"/>
                <w:sz w:val="24"/>
                <w:szCs w:val="24"/>
                <w:lang w:eastAsia="zh-CN"/>
              </w:rPr>
              <w:drawing>
                <wp:inline distT="0" distB="0" distL="114300" distR="114300">
                  <wp:extent cx="4179570" cy="3134995"/>
                  <wp:effectExtent l="0" t="0" r="11430" b="8255"/>
                  <wp:docPr id="18" name="图片 18" descr="0712689e6032bee966ae36b4ee81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712689e6032bee966ae36b4ee81f55"/>
                          <pic:cNvPicPr>
                            <a:picLocks noChangeAspect="1"/>
                          </pic:cNvPicPr>
                        </pic:nvPicPr>
                        <pic:blipFill>
                          <a:blip r:embed="rId13"/>
                          <a:stretch>
                            <a:fillRect/>
                          </a:stretch>
                        </pic:blipFill>
                        <pic:spPr>
                          <a:xfrm>
                            <a:off x="0" y="0"/>
                            <a:ext cx="4179570" cy="3134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图7-2 危废库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5、排污许可证完成情况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根据项目的国民经济行业类别C3</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9</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其他水泥类似制品制造，按《固定污染源排污许可分类管理名录（2019年版）》进行判定，可知：本项目属于固定污染源排污许可分类管理名录表中的“二十五、非金属矿物制品业 30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63水泥、石灰和石膏制造 301，石膏、水泥制品及类似制品制造 302中其他水泥类似制品制造 3029”，本项目的排污许可填报“管理类别”为“</w:t>
            </w:r>
            <w:r>
              <w:rPr>
                <w:rFonts w:hint="eastAsia" w:ascii="Times New Roman" w:hAnsi="Times New Roman" w:cs="Times New Roman"/>
                <w:sz w:val="24"/>
                <w:szCs w:val="24"/>
                <w:lang w:eastAsia="zh-CN"/>
              </w:rPr>
              <w:t>登记</w:t>
            </w:r>
            <w:r>
              <w:rPr>
                <w:rFonts w:hint="default" w:ascii="Times New Roman" w:hAnsi="Times New Roman" w:cs="Times New Roman"/>
                <w:sz w:val="24"/>
                <w:szCs w:val="24"/>
              </w:rPr>
              <w:t>管理”。安徽华仁路桥工程有限公司于2020年</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日进行排污许可</w:t>
            </w:r>
            <w:r>
              <w:rPr>
                <w:rFonts w:hint="eastAsia" w:ascii="Times New Roman" w:hAnsi="Times New Roman" w:cs="Times New Roman"/>
                <w:sz w:val="24"/>
                <w:szCs w:val="24"/>
                <w:lang w:eastAsia="zh-CN"/>
              </w:rPr>
              <w:t>填报</w:t>
            </w:r>
            <w:r>
              <w:rPr>
                <w:rFonts w:hint="default" w:ascii="Times New Roman" w:hAnsi="Times New Roman" w:cs="Times New Roman"/>
                <w:sz w:val="24"/>
                <w:szCs w:val="24"/>
              </w:rPr>
              <w:t>，有效期为2020年</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28</w:t>
            </w:r>
            <w:r>
              <w:rPr>
                <w:rFonts w:hint="default" w:ascii="Times New Roman" w:hAnsi="Times New Roman" w:cs="Times New Roman"/>
                <w:sz w:val="24"/>
                <w:szCs w:val="24"/>
              </w:rPr>
              <w:t>日至202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27</w:t>
            </w:r>
            <w:r>
              <w:rPr>
                <w:rFonts w:hint="default" w:ascii="Times New Roman" w:hAnsi="Times New Roman" w:cs="Times New Roman"/>
                <w:sz w:val="24"/>
                <w:szCs w:val="24"/>
              </w:rPr>
              <w:t>日。</w:t>
            </w:r>
            <w:r>
              <w:rPr>
                <w:rFonts w:hint="eastAsia" w:ascii="Times New Roman" w:hAnsi="Times New Roman" w:cs="Times New Roman"/>
                <w:sz w:val="24"/>
                <w:szCs w:val="24"/>
                <w:lang w:eastAsia="zh-CN"/>
              </w:rPr>
              <w:t>排污许可证</w:t>
            </w:r>
            <w:r>
              <w:rPr>
                <w:rFonts w:hint="default" w:ascii="Times New Roman" w:hAnsi="Times New Roman" w:cs="Times New Roman"/>
                <w:sz w:val="24"/>
                <w:szCs w:val="24"/>
              </w:rPr>
              <w:t>编号：91341881675859550P001W。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6、现存主要环境问题整改措施完成情况</w:t>
            </w:r>
          </w:p>
          <w:p>
            <w:pPr>
              <w:spacing w:line="360" w:lineRule="auto"/>
              <w:ind w:firstLine="422"/>
              <w:jc w:val="center"/>
              <w:rPr>
                <w:rFonts w:hint="eastAsia" w:ascii="Times New Roman" w:hAnsi="Times New Roman" w:eastAsia="宋体" w:cs="Times New Roman"/>
                <w:b/>
                <w:szCs w:val="21"/>
                <w:lang w:val="en-US" w:eastAsia="zh-CN"/>
              </w:rPr>
            </w:pPr>
            <w:r>
              <w:rPr>
                <w:rFonts w:hint="eastAsia" w:ascii="Times New Roman" w:hAnsi="Times New Roman" w:eastAsia="宋体" w:cs="Times New Roman"/>
                <w:b/>
                <w:szCs w:val="21"/>
                <w:lang w:val="en-US" w:eastAsia="zh-CN"/>
              </w:rPr>
              <w:t>表7-2 现有工程存在的主要环境问题及整改措施表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2908"/>
              <w:gridCol w:w="313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vertAlign w:val="baseline"/>
                      <w:lang w:val="en-US" w:eastAsia="zh-CN"/>
                    </w:rPr>
                  </w:pPr>
                  <w:r>
                    <w:rPr>
                      <w:rFonts w:hint="eastAsia" w:ascii="Times New Roman" w:hAnsi="Times New Roman" w:eastAsia="宋体" w:cs="Times New Roman"/>
                      <w:kern w:val="24"/>
                      <w:sz w:val="21"/>
                      <w:szCs w:val="21"/>
                      <w:lang w:val="en-US" w:eastAsia="zh-CN" w:bidi="ar-SA"/>
                    </w:rPr>
                    <w:t>序号</w:t>
                  </w:r>
                </w:p>
              </w:tc>
              <w:tc>
                <w:tcPr>
                  <w:tcW w:w="26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存在问题</w:t>
                  </w:r>
                </w:p>
              </w:tc>
              <w:tc>
                <w:tcPr>
                  <w:tcW w:w="28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建议整改措施</w:t>
                  </w:r>
                </w:p>
              </w:tc>
              <w:tc>
                <w:tcPr>
                  <w:tcW w:w="16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整改完成时间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2"/>
                      <w:vertAlign w:val="baseli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ind w:right="113" w:rightChars="0" w:firstLine="210" w:firstLineChars="100"/>
                    <w:jc w:val="center"/>
                    <w:textAlignment w:val="auto"/>
                    <w:rPr>
                      <w:rFonts w:hint="default" w:ascii="宋体" w:hAnsi="宋体" w:eastAsia="宋体" w:cs="宋体"/>
                      <w:vertAlign w:val="baseline"/>
                      <w:lang w:val="en-US" w:eastAsia="zh-CN"/>
                    </w:rPr>
                  </w:pPr>
                  <w:r>
                    <w:rPr>
                      <w:rFonts w:hint="eastAsia" w:ascii="Times New Roman" w:hAnsi="Times New Roman" w:eastAsia="宋体" w:cs="Times New Roman"/>
                      <w:sz w:val="21"/>
                      <w:szCs w:val="22"/>
                      <w:vertAlign w:val="baseline"/>
                      <w:lang w:val="en-US" w:eastAsia="zh-CN"/>
                    </w:rPr>
                    <w:t>1</w:t>
                  </w:r>
                </w:p>
              </w:tc>
              <w:tc>
                <w:tcPr>
                  <w:tcW w:w="2646" w:type="dxa"/>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kern w:val="24"/>
                      <w:sz w:val="21"/>
                      <w:szCs w:val="21"/>
                      <w:lang w:val="en-US" w:eastAsia="zh-CN" w:bidi="ar-SA"/>
                    </w:rPr>
                  </w:pPr>
                  <w:r>
                    <w:rPr>
                      <w:rFonts w:hint="eastAsia"/>
                      <w:sz w:val="21"/>
                      <w:szCs w:val="16"/>
                      <w:lang w:val="en-US" w:eastAsia="zh-CN"/>
                    </w:rPr>
                    <w:t>现有工程搅拌工序产生的颗粒物、沥青烟、苯并芘的处理方式不是可行技术规范。</w:t>
                  </w:r>
                </w:p>
              </w:tc>
              <w:tc>
                <w:tcPr>
                  <w:tcW w:w="28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default"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按照规范进行提升改造，对于搅拌工序产生的</w:t>
                  </w:r>
                  <w:r>
                    <w:rPr>
                      <w:rFonts w:hint="eastAsia"/>
                      <w:sz w:val="21"/>
                      <w:szCs w:val="16"/>
                      <w:lang w:val="en-US" w:eastAsia="zh-CN"/>
                    </w:rPr>
                    <w:t>颗粒物、沥青烟、苯并芘采用“布袋除尘器+两级活性炭”装置处理。</w:t>
                  </w:r>
                </w:p>
              </w:tc>
              <w:tc>
                <w:tcPr>
                  <w:tcW w:w="16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default"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本次技改项目建成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firstLine="210" w:firstLineChars="100"/>
                    <w:jc w:val="center"/>
                    <w:textAlignment w:val="auto"/>
                    <w:rPr>
                      <w:rFonts w:hint="default" w:ascii="Times New Roman" w:hAnsi="Times New Roman" w:eastAsia="宋体" w:cs="Times New Roman"/>
                      <w:sz w:val="21"/>
                      <w:szCs w:val="22"/>
                      <w:vertAlign w:val="baseline"/>
                      <w:lang w:val="en-US" w:eastAsia="zh-CN"/>
                    </w:rPr>
                  </w:pPr>
                  <w:r>
                    <w:rPr>
                      <w:rFonts w:hint="eastAsia" w:ascii="Times New Roman" w:hAnsi="Times New Roman" w:eastAsia="宋体" w:cs="Times New Roman"/>
                      <w:sz w:val="21"/>
                      <w:szCs w:val="22"/>
                      <w:vertAlign w:val="baseline"/>
                      <w:lang w:val="en-US" w:eastAsia="zh-CN"/>
                    </w:rPr>
                    <w:t>2</w:t>
                  </w:r>
                </w:p>
              </w:tc>
              <w:tc>
                <w:tcPr>
                  <w:tcW w:w="2646" w:type="dxa"/>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sz w:val="21"/>
                      <w:szCs w:val="16"/>
                      <w:lang w:val="en-US" w:eastAsia="zh-CN"/>
                    </w:rPr>
                  </w:pPr>
                  <w:r>
                    <w:rPr>
                      <w:rFonts w:hint="eastAsia"/>
                      <w:sz w:val="21"/>
                      <w:szCs w:val="16"/>
                      <w:lang w:val="en-US" w:eastAsia="zh-CN"/>
                    </w:rPr>
                    <w:t>水稳材料生产时进料过程中产生的颗粒物未按原环评要求采取有效的处理措施</w:t>
                  </w:r>
                </w:p>
              </w:tc>
              <w:tc>
                <w:tcPr>
                  <w:tcW w:w="28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default"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在进料处加装布袋除尘器对颗粒物进行处理。</w:t>
                  </w:r>
                </w:p>
              </w:tc>
              <w:tc>
                <w:tcPr>
                  <w:tcW w:w="16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ind w:right="113" w:rightChars="0"/>
                    <w:jc w:val="center"/>
                    <w:textAlignment w:val="auto"/>
                    <w:rPr>
                      <w:rFonts w:hint="eastAsia" w:ascii="Times New Roman" w:hAnsi="Times New Roman" w:eastAsia="宋体" w:cs="Times New Roman"/>
                      <w:kern w:val="24"/>
                      <w:sz w:val="21"/>
                      <w:szCs w:val="21"/>
                      <w:lang w:val="en-US" w:eastAsia="zh-CN" w:bidi="ar-SA"/>
                    </w:rPr>
                  </w:pPr>
                  <w:r>
                    <w:rPr>
                      <w:rFonts w:hint="eastAsia" w:ascii="Times New Roman" w:hAnsi="Times New Roman" w:eastAsia="宋体" w:cs="Times New Roman"/>
                      <w:kern w:val="24"/>
                      <w:sz w:val="21"/>
                      <w:szCs w:val="21"/>
                      <w:lang w:val="en-US" w:eastAsia="zh-CN" w:bidi="ar-SA"/>
                    </w:rPr>
                    <w:t>本次技改项目建成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现存环境问</w:t>
            </w:r>
            <w:r>
              <w:rPr>
                <w:rFonts w:hint="default" w:ascii="Times New Roman" w:hAnsi="Times New Roman" w:eastAsia="宋体" w:cs="Times New Roman"/>
                <w:color w:val="auto"/>
                <w:kern w:val="0"/>
                <w:sz w:val="24"/>
                <w:szCs w:val="24"/>
                <w:lang w:val="en-US" w:eastAsia="zh-CN" w:bidi="ar"/>
              </w:rPr>
              <w:t>题整改项成效</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烘干、筛分工序产生的粉尘收集后经布袋除尘器处理，通过一根15m排气筒（DA002）排放；搅拌工序产生的废气经一套“布袋除尘器+两级活性炭”组合处理装置处理后，通过一根15m排气筒（DA005）排放。根据宁国市浚成环境检测有限公司</w:t>
            </w:r>
            <w:r>
              <w:rPr>
                <w:rFonts w:hint="eastAsia" w:ascii="Times New Roman" w:hAnsi="Times New Roman" w:eastAsia="宋体" w:cs="Times New Roman"/>
                <w:color w:val="auto"/>
                <w:kern w:val="0"/>
                <w:sz w:val="24"/>
                <w:szCs w:val="24"/>
                <w:lang w:val="en-US" w:eastAsia="zh-CN" w:bidi="ar"/>
              </w:rPr>
              <w:t>检测报告（</w:t>
            </w:r>
            <w:r>
              <w:rPr>
                <w:rFonts w:hint="default" w:ascii="Times New Roman" w:hAnsi="Times New Roman" w:eastAsia="宋体" w:cs="Times New Roman"/>
                <w:color w:val="auto"/>
                <w:kern w:val="0"/>
                <w:sz w:val="24"/>
                <w:szCs w:val="24"/>
                <w:lang w:val="en-US" w:eastAsia="zh-CN" w:bidi="ar"/>
              </w:rPr>
              <w:t>2023JCJCWTQ0516-2</w:t>
            </w:r>
            <w:r>
              <w:rPr>
                <w:rFonts w:hint="eastAsia" w:ascii="Times New Roman" w:hAnsi="Times New Roman" w:eastAsia="宋体" w:cs="Times New Roman"/>
                <w:color w:val="auto"/>
                <w:kern w:val="0"/>
                <w:sz w:val="24"/>
                <w:szCs w:val="24"/>
                <w:lang w:val="en-US" w:eastAsia="zh-CN" w:bidi="ar"/>
              </w:rPr>
              <w:t>）可知，</w:t>
            </w:r>
            <w:r>
              <w:rPr>
                <w:rFonts w:hint="eastAsia" w:ascii="宋体" w:hAnsi="宋体" w:eastAsia="宋体" w:cs="宋体"/>
                <w:color w:val="auto"/>
                <w:kern w:val="0"/>
                <w:sz w:val="24"/>
                <w:szCs w:val="24"/>
                <w:lang w:val="en-US" w:eastAsia="zh-CN" w:bidi="ar"/>
              </w:rPr>
              <w:t>搅拌工序产生的颗粒物、沥青烟、苯并芘，</w:t>
            </w:r>
            <w:r>
              <w:rPr>
                <w:rFonts w:hint="eastAsia"/>
                <w:sz w:val="24"/>
                <w:szCs w:val="24"/>
                <w:lang w:val="en-US" w:eastAsia="zh-CN"/>
              </w:rPr>
              <w:t>水稳材料生产时进料产生的</w:t>
            </w:r>
            <w:r>
              <w:rPr>
                <w:rFonts w:hint="eastAsia" w:ascii="Times New Roman" w:hAnsi="Times New Roman" w:eastAsia="宋体" w:cs="Times New Roman"/>
                <w:kern w:val="24"/>
                <w:sz w:val="24"/>
                <w:szCs w:val="24"/>
                <w:lang w:val="en-US" w:eastAsia="zh-CN" w:bidi="ar-SA"/>
              </w:rPr>
              <w:t>颗粒物均</w:t>
            </w:r>
            <w:r>
              <w:rPr>
                <w:rFonts w:hint="eastAsia" w:ascii="宋体" w:hAnsi="宋体" w:eastAsia="宋体" w:cs="宋体"/>
                <w:color w:val="auto"/>
                <w:kern w:val="0"/>
                <w:sz w:val="24"/>
                <w:szCs w:val="24"/>
                <w:lang w:val="en-US" w:eastAsia="zh-CN" w:bidi="ar"/>
              </w:rPr>
              <w:t>能达标排放，现有工程存在问题已完成整改。</w:t>
            </w:r>
            <w:bookmarkStart w:id="3" w:name="_GoBack"/>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废气排放监测结果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426"/>
              <w:gridCol w:w="1377"/>
              <w:gridCol w:w="1125"/>
              <w:gridCol w:w="407"/>
              <w:gridCol w:w="1611"/>
              <w:gridCol w:w="605"/>
              <w:gridCol w:w="928"/>
              <w:gridCol w:w="35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2023.05.19</w:t>
                  </w:r>
                </w:p>
              </w:tc>
              <w:tc>
                <w:tcPr>
                  <w:tcW w:w="12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2931"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2023.05.19</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2023.05.22</w:t>
                  </w:r>
                </w:p>
              </w:tc>
              <w:tc>
                <w:tcPr>
                  <w:tcW w:w="14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9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restart"/>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6612"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15:14～15:24</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15:29～15:39</w:t>
                  </w:r>
                </w:p>
              </w:tc>
              <w:tc>
                <w:tcPr>
                  <w:tcW w:w="173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15:43～15:53</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粉尘废气排气筒出</w:t>
                  </w:r>
                  <w:r>
                    <w:rPr>
                      <w:rFonts w:hint="default" w:ascii="Times New Roman" w:hAnsi="Times New Roman" w:eastAsia="宋体" w:cs="Times New Roman"/>
                      <w:kern w:val="2"/>
                      <w:sz w:val="21"/>
                      <w:szCs w:val="21"/>
                      <w:lang w:val="en-US" w:eastAsia="zh-CN" w:bidi="ar-SA"/>
                    </w:rPr>
                    <w:t>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30389</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29971</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30164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27.5</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28.4</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23.6</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0.836</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0.851</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0.712</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vertAlign w:val="baseline"/>
                      <w:lang w:val="en-US" w:eastAsia="zh-CN"/>
                    </w:rPr>
                    <w:t>备注</w:t>
                  </w:r>
                </w:p>
              </w:tc>
              <w:tc>
                <w:tcPr>
                  <w:tcW w:w="8462"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2"/>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583"/>
              <w:gridCol w:w="1208"/>
              <w:gridCol w:w="1131"/>
              <w:gridCol w:w="367"/>
              <w:gridCol w:w="1567"/>
              <w:gridCol w:w="633"/>
              <w:gridCol w:w="866"/>
              <w:gridCol w:w="446"/>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2023.05.16</w:t>
                  </w:r>
                </w:p>
              </w:tc>
              <w:tc>
                <w:tcPr>
                  <w:tcW w:w="12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分析日期</w:t>
                  </w:r>
                </w:p>
              </w:tc>
              <w:tc>
                <w:tcPr>
                  <w:tcW w:w="288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2023.05.17</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2023.05.23</w:t>
                  </w:r>
                </w:p>
              </w:tc>
              <w:tc>
                <w:tcPr>
                  <w:tcW w:w="146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104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restart"/>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6612"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08:50～09:10</w:t>
                  </w:r>
                </w:p>
              </w:tc>
              <w:tc>
                <w:tcPr>
                  <w:tcW w:w="168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09:14～09:34</w:t>
                  </w:r>
                </w:p>
              </w:tc>
              <w:tc>
                <w:tcPr>
                  <w:tcW w:w="16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09:39～09:59</w:t>
                  </w:r>
                </w:p>
              </w:tc>
              <w:tc>
                <w:tcPr>
                  <w:tcW w:w="15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搅拌废气排气筒出</w:t>
                  </w:r>
                  <w:r>
                    <w:rPr>
                      <w:rFonts w:hint="default" w:ascii="Times New Roman" w:hAnsi="Times New Roman" w:eastAsia="宋体" w:cs="Times New Roman"/>
                      <w:kern w:val="2"/>
                      <w:sz w:val="21"/>
                      <w:szCs w:val="21"/>
                      <w:lang w:val="en-US" w:eastAsia="zh-CN" w:bidi="ar-SA"/>
                    </w:rPr>
                    <w:t>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20306</w:t>
                  </w:r>
                </w:p>
              </w:tc>
              <w:tc>
                <w:tcPr>
                  <w:tcW w:w="16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21719</w:t>
                  </w:r>
                </w:p>
              </w:tc>
              <w:tc>
                <w:tcPr>
                  <w:tcW w:w="16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22486</w:t>
                  </w:r>
                </w:p>
              </w:tc>
              <w:tc>
                <w:tcPr>
                  <w:tcW w:w="15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6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沥青烟</w:t>
                  </w: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＜9.6</w:t>
                  </w:r>
                </w:p>
              </w:tc>
              <w:tc>
                <w:tcPr>
                  <w:tcW w:w="168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＜9.3</w:t>
                  </w:r>
                </w:p>
              </w:tc>
              <w:tc>
                <w:tcPr>
                  <w:tcW w:w="16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＜8.9</w:t>
                  </w:r>
                </w:p>
              </w:tc>
              <w:tc>
                <w:tcPr>
                  <w:tcW w:w="154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6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＜0.195</w:t>
                  </w:r>
                </w:p>
              </w:tc>
              <w:tc>
                <w:tcPr>
                  <w:tcW w:w="16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＜0.202</w:t>
                  </w:r>
                </w:p>
              </w:tc>
              <w:tc>
                <w:tcPr>
                  <w:tcW w:w="16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＜0.200</w:t>
                  </w:r>
                </w:p>
              </w:tc>
              <w:tc>
                <w:tcPr>
                  <w:tcW w:w="15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6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苯并[a]芘</w:t>
                  </w: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14:38～14:58</w:t>
                  </w:r>
                </w:p>
              </w:tc>
              <w:tc>
                <w:tcPr>
                  <w:tcW w:w="168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15:06～15:26</w:t>
                  </w:r>
                </w:p>
              </w:tc>
              <w:tc>
                <w:tcPr>
                  <w:tcW w:w="16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15:30～15:50</w:t>
                  </w:r>
                </w:p>
              </w:tc>
              <w:tc>
                <w:tcPr>
                  <w:tcW w:w="15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6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48628</w:t>
                  </w:r>
                </w:p>
              </w:tc>
              <w:tc>
                <w:tcPr>
                  <w:tcW w:w="16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46390</w:t>
                  </w:r>
                </w:p>
              </w:tc>
              <w:tc>
                <w:tcPr>
                  <w:tcW w:w="16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47807</w:t>
                  </w:r>
                </w:p>
              </w:tc>
              <w:tc>
                <w:tcPr>
                  <w:tcW w:w="15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47608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6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w:t>
                  </w:r>
                  <w:r>
                    <w:rPr>
                      <w:rFonts w:hint="default" w:ascii="Times New Roman" w:hAnsi="Times New Roman" w:eastAsia="宋体" w:cs="Times New Roman"/>
                      <w:b w:val="0"/>
                      <w:bCs w:val="0"/>
                      <w:sz w:val="21"/>
                      <w:szCs w:val="21"/>
                      <w:vertAlign w:val="baseline"/>
                      <w:lang w:val="en-US" w:eastAsia="zh-CN"/>
                    </w:rPr>
                    <w:t>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sz w:val="21"/>
                      <w:szCs w:val="21"/>
                    </w:rPr>
                    <w:t>）</w:t>
                  </w:r>
                </w:p>
              </w:tc>
              <w:tc>
                <w:tcPr>
                  <w:tcW w:w="168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＜0.000002</w:t>
                  </w:r>
                </w:p>
              </w:tc>
              <w:tc>
                <w:tcPr>
                  <w:tcW w:w="168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＜0.000002</w:t>
                  </w:r>
                </w:p>
              </w:tc>
              <w:tc>
                <w:tcPr>
                  <w:tcW w:w="16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＜0.000002</w:t>
                  </w:r>
                </w:p>
              </w:tc>
              <w:tc>
                <w:tcPr>
                  <w:tcW w:w="154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＜0.000002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6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121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16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lang w:val="en-US" w:eastAsia="zh-CN"/>
                    </w:rPr>
                    <w:t>9.73×10</w:t>
                  </w:r>
                  <w:r>
                    <w:rPr>
                      <w:rFonts w:hint="default" w:ascii="Times New Roman" w:hAnsi="Times New Roman" w:eastAsia="宋体" w:cs="Times New Roman"/>
                      <w:sz w:val="21"/>
                      <w:szCs w:val="21"/>
                      <w:vertAlign w:val="superscript"/>
                      <w:lang w:val="en-US" w:eastAsia="zh-CN"/>
                    </w:rPr>
                    <w:t>-8</w:t>
                  </w:r>
                </w:p>
              </w:tc>
              <w:tc>
                <w:tcPr>
                  <w:tcW w:w="16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lang w:val="en-US" w:eastAsia="zh-CN"/>
                    </w:rPr>
                    <w:t>9.28×10</w:t>
                  </w:r>
                  <w:r>
                    <w:rPr>
                      <w:rFonts w:hint="default" w:ascii="Times New Roman" w:hAnsi="Times New Roman" w:eastAsia="宋体" w:cs="Times New Roman"/>
                      <w:sz w:val="21"/>
                      <w:szCs w:val="21"/>
                      <w:vertAlign w:val="superscript"/>
                      <w:lang w:val="en-US" w:eastAsia="zh-CN"/>
                    </w:rPr>
                    <w:t>-8</w:t>
                  </w:r>
                </w:p>
              </w:tc>
              <w:tc>
                <w:tcPr>
                  <w:tcW w:w="168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lang w:val="en-US" w:eastAsia="zh-CN"/>
                    </w:rPr>
                    <w:t>9.56×10</w:t>
                  </w:r>
                  <w:r>
                    <w:rPr>
                      <w:rFonts w:hint="default" w:ascii="Times New Roman" w:hAnsi="Times New Roman" w:eastAsia="宋体" w:cs="Times New Roman"/>
                      <w:sz w:val="21"/>
                      <w:szCs w:val="21"/>
                      <w:vertAlign w:val="superscript"/>
                      <w:lang w:val="en-US" w:eastAsia="zh-CN"/>
                    </w:rPr>
                    <w:t>-8</w:t>
                  </w:r>
                </w:p>
              </w:tc>
              <w:tc>
                <w:tcPr>
                  <w:tcW w:w="154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lang w:val="en-US" w:eastAsia="zh-CN"/>
                    </w:rPr>
                    <w:t>9.52×10</w:t>
                  </w:r>
                  <w:r>
                    <w:rPr>
                      <w:rFonts w:hint="default" w:ascii="Times New Roman" w:hAnsi="Times New Roman" w:eastAsia="宋体" w:cs="Times New Roman"/>
                      <w:sz w:val="21"/>
                      <w:szCs w:val="21"/>
                      <w:vertAlign w:val="superscript"/>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vertAlign w:val="baseline"/>
                      <w:lang w:val="en-US" w:eastAsia="zh-CN"/>
                    </w:rPr>
                    <w:t>备注</w:t>
                  </w:r>
                </w:p>
              </w:tc>
              <w:tc>
                <w:tcPr>
                  <w:tcW w:w="8462"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 xml:space="preserve">本项目废气中 </w:t>
                  </w:r>
                  <w:r>
                    <w:rPr>
                      <w:rFonts w:hint="default" w:ascii="Times New Roman" w:hAnsi="Times New Roman" w:eastAsia="宋体" w:cs="Times New Roman"/>
                      <w:b w:val="0"/>
                      <w:bCs w:val="0"/>
                      <w:sz w:val="21"/>
                      <w:szCs w:val="21"/>
                      <w:vertAlign w:val="baseline"/>
                      <w:lang w:val="en-US" w:eastAsia="zh-CN"/>
                    </w:rPr>
                    <w:t>苯并[a]芘</w:t>
                  </w:r>
                  <w:r>
                    <w:rPr>
                      <w:rFonts w:hint="default" w:ascii="Times New Roman" w:hAnsi="Times New Roman" w:eastAsia="宋体" w:cs="Times New Roman"/>
                      <w:sz w:val="21"/>
                      <w:szCs w:val="21"/>
                      <w:lang w:val="en-US" w:eastAsia="zh-CN"/>
                    </w:rPr>
                    <w:t xml:space="preserve">、沥青烟 </w:t>
                  </w:r>
                  <w:r>
                    <w:rPr>
                      <w:rFonts w:hint="default" w:ascii="Times New Roman" w:hAnsi="Times New Roman" w:eastAsia="宋体" w:cs="Times New Roman"/>
                      <w:color w:val="auto"/>
                      <w:kern w:val="2"/>
                      <w:sz w:val="21"/>
                      <w:szCs w:val="21"/>
                      <w:vertAlign w:val="baseline"/>
                      <w:lang w:val="en-US" w:eastAsia="zh-CN" w:bidi="ar-SA"/>
                    </w:rPr>
                    <w:t>检测结果由我公司分包国检测试控股集团（安徽）拓维检测服务有限公司</w:t>
                  </w:r>
                  <w:r>
                    <w:rPr>
                      <w:rFonts w:hint="default" w:ascii="Times New Roman" w:hAnsi="Times New Roman" w:eastAsia="宋体" w:cs="Times New Roman"/>
                      <w:b w:val="0"/>
                      <w:bCs w:val="0"/>
                      <w:color w:val="auto"/>
                      <w:sz w:val="21"/>
                      <w:szCs w:val="21"/>
                      <w:vertAlign w:val="baseline"/>
                      <w:lang w:val="en-US" w:eastAsia="zh-CN"/>
                    </w:rPr>
                    <w:t>（资质证书编号：181200051099）出具。</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仿宋" w:hAnsi="仿宋" w:eastAsia="仿宋" w:cs="仿宋"/>
                <w:b/>
                <w:bCs/>
                <w:sz w:val="24"/>
                <w:szCs w:val="24"/>
                <w:lang w:val="en-US"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426"/>
              <w:gridCol w:w="1378"/>
              <w:gridCol w:w="1194"/>
              <w:gridCol w:w="342"/>
              <w:gridCol w:w="1612"/>
              <w:gridCol w:w="717"/>
              <w:gridCol w:w="819"/>
              <w:gridCol w:w="474"/>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2023.05.19</w:t>
                  </w:r>
                </w:p>
              </w:tc>
              <w:tc>
                <w:tcPr>
                  <w:tcW w:w="132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2977"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2023.05.19</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2023.05.22</w:t>
                  </w:r>
                </w:p>
              </w:tc>
              <w:tc>
                <w:tcPr>
                  <w:tcW w:w="14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83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restart"/>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6612"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14:17～14:27</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14:28～14:38</w:t>
                  </w:r>
                </w:p>
              </w:tc>
              <w:tc>
                <w:tcPr>
                  <w:tcW w:w="173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14:41～14:51</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筛分废气排气筒出</w:t>
                  </w:r>
                  <w:r>
                    <w:rPr>
                      <w:rFonts w:hint="default" w:ascii="Times New Roman" w:hAnsi="Times New Roman" w:eastAsia="宋体" w:cs="Times New Roman"/>
                      <w:kern w:val="2"/>
                      <w:sz w:val="21"/>
                      <w:szCs w:val="21"/>
                      <w:lang w:val="en-US" w:eastAsia="zh-CN" w:bidi="ar-SA"/>
                    </w:rPr>
                    <w:t>口</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4623</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4665</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4694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15.3</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16.8</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0.071</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0.067</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0.079</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vertAlign w:val="baseline"/>
                      <w:lang w:val="en-US" w:eastAsia="zh-CN"/>
                    </w:rPr>
                    <w:t>备注</w:t>
                  </w:r>
                </w:p>
              </w:tc>
              <w:tc>
                <w:tcPr>
                  <w:tcW w:w="8462"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r>
          </w:tbl>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eastAsiaTheme="minorEastAsia"/>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4177665</wp:posOffset>
                </wp:positionH>
                <wp:positionV relativeFrom="paragraph">
                  <wp:posOffset>1753870</wp:posOffset>
                </wp:positionV>
                <wp:extent cx="119380" cy="130810"/>
                <wp:effectExtent l="4445" t="4445" r="9525" b="17145"/>
                <wp:wrapNone/>
                <wp:docPr id="14" name="椭圆 14"/>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28.95pt;margin-top:138.1pt;height:10.3pt;width:9.4pt;z-index:251681792;mso-width-relative:page;mso-height-relative:page;" fillcolor="#FF0000" filled="t" stroked="t" coordsize="21600,21600" o:gfxdata="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ljrhNWcWDFX81/cf&#10;P799ZbRA7owea0p68PfhNEMKk9SpCyb9SQSbsqPHs6NyikzQYlXdXt2Q14K2qqvypsqOF4+HfcD4&#10;XjrDUtBwqTWVL2mGGg4fMNKdlP0nKy2j06rdKq3zJPS7tzqwA1B9t9uSvkSajjxJ05aNDb+9Xl4T&#10;FaCm7ahZKDSehKPt831PTuBlwInYBnCYCWSEuaUGCe0727J49OSopZfEEwUjW860pIeXImIKdQSl&#10;L8kkTdqStFSQuQQpitNuOtVl59oj1XLvg+oH8rLKTqQk6p3syanPU3P+Pc+gj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zWL42AAAAAsBAAAPAAAAAAAAAAEAIAAAACIAAABkcnMvZG93bnJl&#10;di54bWxQSwECFAAUAAAACACHTuJA8WLwDP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4487545</wp:posOffset>
                </wp:positionH>
                <wp:positionV relativeFrom="paragraph">
                  <wp:posOffset>1586865</wp:posOffset>
                </wp:positionV>
                <wp:extent cx="119380" cy="130810"/>
                <wp:effectExtent l="4445" t="4445" r="9525" b="17145"/>
                <wp:wrapNone/>
                <wp:docPr id="11" name="椭圆 11"/>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53.35pt;margin-top:124.95pt;height:10.3pt;width:9.4pt;z-index:251680768;mso-width-relative:page;mso-height-relative:page;" fillcolor="#FF0000" filled="t" stroked="t" coordsize="21600,21600" o:gfxdata="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p5q32QAAAAsBAAAPAAAAAAAAAAEAIAAAACIAAABkcnMvZG93bnJl&#10;di54bWxQSwECFAAUAAAACACHTuJAUO+CQ/wBAAAjBAAADgAAAAAAAAABACAAAAAo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4312920</wp:posOffset>
                </wp:positionH>
                <wp:positionV relativeFrom="paragraph">
                  <wp:posOffset>2444750</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39.6pt;margin-top:192.5pt;height:10.3pt;width:9.4pt;z-index:251679744;mso-width-relative:page;mso-height-relative:page;" fillcolor="#FF0000" filled="t" stroked="t" coordsize="21600,21600" o:gfxdata="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fiHXDZAAAACwEAAA8AAAAAAAAAAQAgAAAAIgAAAGRycy9kb3ducmV2&#10;LnhtbFBLAQIUABQAAAAIAIdO4kASeK4g+wEAACEEAAAOAAAAAAAAAAEAIAAAACg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4637405</wp:posOffset>
                </wp:positionH>
                <wp:positionV relativeFrom="paragraph">
                  <wp:posOffset>4474210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65.15pt;margin-top:352.3pt;height:11.25pt;width:11.25pt;z-index:251664384;mso-width-relative:page;mso-height-relative:page;" fillcolor="#FF0000" filled="t" stroked="t" coordsize="21600,21600" o:gfxdata="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CKJL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5852160</wp:posOffset>
                </wp:positionH>
                <wp:positionV relativeFrom="paragraph">
                  <wp:posOffset>1339850</wp:posOffset>
                </wp:positionV>
                <wp:extent cx="198755" cy="222250"/>
                <wp:effectExtent l="4445" t="4445" r="6350" b="20955"/>
                <wp:wrapNone/>
                <wp:docPr id="30" name="任意多边形 30"/>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460.8pt;margin-top:105.5pt;height:17.5pt;width:15.65pt;z-index:251678720;mso-width-relative:page;mso-height-relative:page;" fillcolor="#FF0000" filled="t" stroked="t" coordsize="21600,21600" o:gfxdata="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i7ypw9kAAAALAQAADwAAAAAAAAABACAAAAAiAAAAZHJzL2Rvd25yZXYueG1s&#10;UEsBAhQAFAAAAAgAh07iQIgPpzBNAwAAVAkAAA4AAAAAAAAAAQAgAAAAKA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5131435</wp:posOffset>
                </wp:positionH>
                <wp:positionV relativeFrom="paragraph">
                  <wp:posOffset>1541780</wp:posOffset>
                </wp:positionV>
                <wp:extent cx="119380" cy="130810"/>
                <wp:effectExtent l="4445" t="4445" r="9525" b="17145"/>
                <wp:wrapNone/>
                <wp:docPr id="29" name="椭圆 2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404.05pt;margin-top:121.4pt;height:10.3pt;width:9.4pt;z-index:251677696;mso-width-relative:page;mso-height-relative:page;" fillcolor="#FF0000" filled="t" stroked="t" coordsize="21600,21600" o:gfxdata="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No7q2AAAAAsBAAAPAAAAAAAAAAEAIAAAACIAAABkcnMvZG93bnJl&#10;di54bWxQSwECFAAUAAAACACHTuJAqVNzkf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5327015</wp:posOffset>
                </wp:positionH>
                <wp:positionV relativeFrom="paragraph">
                  <wp:posOffset>4291330</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419.45pt;margin-top:337.9pt;height:17.5pt;width:15.65pt;z-index:251667456;mso-width-relative:page;mso-height-relative:page;" fillcolor="#FF0000" filled="t" stroked="t" coordsize="21600,21600" o:gfxdata="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eYENbZAAAACwEAAA8AAAAAAAAAAQAgAAAAIgAAAGRycy9kb3ducmV2Lnht&#10;bFBLAQIUABQAAAAIAIdO4kDUsJHE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5610860</wp:posOffset>
                </wp:positionH>
                <wp:positionV relativeFrom="paragraph">
                  <wp:posOffset>2544445</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441.8pt;margin-top:200.35pt;height:11.25pt;width:11.25pt;z-index:251663360;mso-width-relative:page;mso-height-relative:page;" fillcolor="#FF0000" filled="t" stroked="t" coordsize="21600,21600" o:gfxdata="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qdGC3AAAAAsB&#10;AAAPAAAAAAAAAAEAIAAAACIAAABkcnMvZG93bnJldi54bWxQSwECFAAUAAAACACHTuJAI9JQG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3622040</wp:posOffset>
                </wp:positionH>
                <wp:positionV relativeFrom="paragraph">
                  <wp:posOffset>2728595</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85.2pt;margin-top:214.85pt;height:11.25pt;width:11.25pt;z-index:251665408;mso-width-relative:page;mso-height-relative:page;" fillcolor="#FF0000" filled="t" stroked="t" coordsize="21600,21600" o:gfxdata="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q5ih90AAAAL&#10;AQAADwAAAAAAAAABACAAAAAiAAAAZHJzL2Rvd25yZXYueG1sUEsBAhQAFAAAAAgAh07iQMWGEck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4617720</wp:posOffset>
                </wp:positionH>
                <wp:positionV relativeFrom="paragraph">
                  <wp:posOffset>590550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63.6pt;margin-top:46.5pt;height:11.25pt;width:11.25pt;z-index:251662336;mso-width-relative:page;mso-height-relative:page;" fillcolor="#FF0000" filled="t" stroked="t" coordsize="21600,21600" o:gfxdata="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kOy13AAAAAoB&#10;AAAPAAAAAAAAAAEAIAAAACIAAABkcnMvZG93bnJldi54bWxQSwECFAAUAAAACACHTuJA39n2P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3508375</wp:posOffset>
                </wp:positionH>
                <wp:positionV relativeFrom="paragraph">
                  <wp:posOffset>1711325</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276.25pt;margin-top:134.75pt;height:17.5pt;width:15.65pt;z-index:251666432;mso-width-relative:page;mso-height-relative:page;" fillcolor="#FF0000" filled="t" stroked="t" coordsize="21600,21600" o:gfxdata="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K30Z/jZAAAACwEAAA8AAAAAAAAAAQAgAAAAIgAAAGRycy9kb3ducmV2Lnht&#10;bFBLAQIUABQAAAAIAIdO4kDx/7F3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2781300</wp:posOffset>
                </wp:positionH>
                <wp:positionV relativeFrom="paragraph">
                  <wp:posOffset>1271905</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9pt;margin-top:100.15pt;height:14.35pt;width:15pt;z-index:251659264;v-text-anchor:middle;mso-width-relative:page;mso-height-relative:page;" fillcolor="#FF0000" filled="t" stroked="t" coordsize="190500,182245" o:gfxdata="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98KsXaAAAACwEAAA8AAAAAAAAAAQAgAAAAIgAAAGRycy9k&#10;b3ducmV2LnhtbFBLAQIUABQAAAAIAIdO4kB0/tT7cgIAAPcEAAAOAAAAAAAAAAEAIAAAACkBAABk&#10;cnMvZTJvRG9jLnhtbFBLBQYAAAAABgAGAFkBAAAN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7549515</wp:posOffset>
                </wp:positionH>
                <wp:positionV relativeFrom="paragraph">
                  <wp:posOffset>2631440</wp:posOffset>
                </wp:positionV>
                <wp:extent cx="198755" cy="222250"/>
                <wp:effectExtent l="4445" t="4445" r="6350" b="20955"/>
                <wp:wrapNone/>
                <wp:docPr id="36" name="任意多边形 3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0" style="position:absolute;left:0pt;margin-left:594.45pt;margin-top:207.2pt;height:17.5pt;width:15.65pt;z-index:251669504;mso-width-relative:page;mso-height-relative:page;" fillcolor="#FF0000" filled="t" stroked="t" coordsize="21600,21600" o:gfxdata="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TqTvZAAAADQEAAA8AAAAAAAAAAQAgAAAAIgAAAGRycy9kb3ducmV2Lnht&#10;bFBLAQIUABQAAAAIAIdO4kB674q+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73600;v-text-anchor:middle;mso-width-relative:page;mso-height-relative:page;" fillcolor="#FF0000" filled="t" stroked="t" coordsize="190500,182245" o:gfxdata="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1krg7aAAAADQEAAA8AAAAAAAAAAQAg&#10;AAAAIgAAAGRycy9kb3ducmV2LnhtbFBLAQIUABQAAAAIAIdO4kBB0xqEfgIAAAMFAAAOAAAAAAAA&#10;AAEAIAAAACkBAABkcnMvZTJvRG9jLnhtbFBLBQYAAAAABgAGAFkBAAAZ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71552;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7589520</wp:posOffset>
                </wp:positionH>
                <wp:positionV relativeFrom="paragraph">
                  <wp:posOffset>3093720</wp:posOffset>
                </wp:positionV>
                <wp:extent cx="119380" cy="130810"/>
                <wp:effectExtent l="4445" t="4445" r="9525" b="17145"/>
                <wp:wrapNone/>
                <wp:docPr id="40" name="椭圆 4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97.6pt;margin-top:243.6pt;height:10.3pt;width:9.4pt;z-index:251670528;mso-width-relative:page;mso-height-relative:page;" fillcolor="#FF0000" filled="t" stroked="t" coordsize="21600,21600" o:gfxdata="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tuGvyRILhir+6/uP&#10;n9++Mlogd0aPNSU9+PtwmiGFSerUBZP+JIJN2dHj2VE5RSZosapur24IWNBWdVXeVBmzeDzsA8b3&#10;0hmWgoZLral8STPUcPiAke6k7D9ZaRmdVu1WaZ0nod+91YEdgOq73Zb0JdJ05Ematmxs+O318pqo&#10;ADVtR81CofEkHG2f73tyAi8DTsQ2gMNMICPMLTVIaN/ZlsWjJ0ctvSSeKBjZcqYlPbwUEVOoIyh9&#10;SSZp0pakpYLMJUhRnHbTqS471x6plnsfVD+Ql1V2IiVR72RPTn2emvPveQZ9fN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1nJfjYAAAADQEAAA8AAAAAAAAAAQAgAAAAIgAAAGRycy9kb3ducmV2&#10;LnhtbFBLAQIUABQAAAAIAIdO4kDWclP0/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7435850</wp:posOffset>
                </wp:positionH>
                <wp:positionV relativeFrom="paragraph">
                  <wp:posOffset>2612390</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5.5pt;margin-top:205.7pt;height:115pt;width:71.3pt;z-index:251668480;mso-width-relative:page;mso-height-relative:page;" fillcolor="#FFFFFF" filled="t" stroked="f" coordsize="21600,21600" o:gfxdata="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hSvTN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r>
        <w:drawing>
          <wp:inline distT="0" distB="0" distL="114300" distR="114300">
            <wp:extent cx="6208395" cy="4361180"/>
            <wp:effectExtent l="0" t="0" r="1905"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rcRect l="72" t="3363"/>
                    <a:stretch>
                      <a:fillRect/>
                    </a:stretch>
                  </pic:blipFill>
                  <pic:spPr>
                    <a:xfrm>
                      <a:off x="0" y="0"/>
                      <a:ext cx="6208395" cy="4361180"/>
                    </a:xfrm>
                    <a:prstGeom prst="rect">
                      <a:avLst/>
                    </a:prstGeom>
                    <a:noFill/>
                    <a:ln>
                      <a:noFill/>
                    </a:ln>
                  </pic:spPr>
                </pic:pic>
              </a:graphicData>
            </a:graphic>
          </wp:inline>
        </w:drawing>
      </w:r>
    </w:p>
    <w:p>
      <w:pPr>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2576" behindDoc="0" locked="0" layoutInCell="1" allowOverlap="1">
                <wp:simplePos x="0" y="0"/>
                <wp:positionH relativeFrom="column">
                  <wp:posOffset>3126105</wp:posOffset>
                </wp:positionH>
                <wp:positionV relativeFrom="paragraph">
                  <wp:posOffset>294640</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图7-3 </w:t>
                            </w:r>
                            <w:r>
                              <w:rPr>
                                <w:rFonts w:hint="default"/>
                                <w:b/>
                                <w:bCs/>
                                <w:sz w:val="21"/>
                                <w:szCs w:val="21"/>
                                <w:lang w:val="en-US" w:eastAsia="zh-CN"/>
                              </w:rPr>
                              <w:t>厂区</w:t>
                            </w:r>
                            <w:r>
                              <w:rPr>
                                <w:rFonts w:hint="eastAsia"/>
                                <w:b/>
                                <w:bCs/>
                                <w:sz w:val="21"/>
                                <w:szCs w:val="21"/>
                                <w:lang w:val="en-US" w:eastAsia="zh-CN"/>
                              </w:rPr>
                              <w:t>雨污管网</w:t>
                            </w:r>
                            <w:r>
                              <w:rPr>
                                <w:rFonts w:hint="default"/>
                                <w:b/>
                                <w:bCs/>
                                <w:sz w:val="21"/>
                                <w:szCs w:val="21"/>
                                <w:lang w:val="en-US" w:eastAsia="zh-CN"/>
                              </w:rPr>
                              <w:t>及监测点位</w:t>
                            </w:r>
                            <w:r>
                              <w:rPr>
                                <w:rFonts w:hint="eastAsia"/>
                                <w:b/>
                                <w:bCs/>
                                <w:sz w:val="21"/>
                                <w:szCs w:val="21"/>
                                <w:lang w:val="en-US"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15pt;margin-top:23.2pt;height:23.75pt;width:188.65pt;z-index:251672576;mso-width-relative:page;mso-height-relative:page;" fillcolor="#FFFFFF [3201]" filled="t" stroked="f" coordsize="21600,21600" o:gfxdata="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V1&#10;uLPWAAAACQEAAA8AAAAAAAAAAQAgAAAAIgAAAGRycy9kb3ducmV2LnhtbFBLAQIUABQAAAAIAIdO&#10;4kBsCW45XgIAAJsEAAAOAAAAAAAAAAEAIAAAACUBAABkcnMvZTJvRG9jLnhtbFBLBQYAAAAABgAG&#10;AFkBAAD1BQ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图7-3 </w:t>
                      </w:r>
                      <w:r>
                        <w:rPr>
                          <w:rFonts w:hint="default"/>
                          <w:b/>
                          <w:bCs/>
                          <w:sz w:val="21"/>
                          <w:szCs w:val="21"/>
                          <w:lang w:val="en-US" w:eastAsia="zh-CN"/>
                        </w:rPr>
                        <w:t>厂区</w:t>
                      </w:r>
                      <w:r>
                        <w:rPr>
                          <w:rFonts w:hint="eastAsia"/>
                          <w:b/>
                          <w:bCs/>
                          <w:sz w:val="21"/>
                          <w:szCs w:val="21"/>
                          <w:lang w:val="en-US" w:eastAsia="zh-CN"/>
                        </w:rPr>
                        <w:t>雨污管网</w:t>
                      </w:r>
                      <w:r>
                        <w:rPr>
                          <w:rFonts w:hint="default"/>
                          <w:b/>
                          <w:bCs/>
                          <w:sz w:val="21"/>
                          <w:szCs w:val="21"/>
                          <w:lang w:val="en-US" w:eastAsia="zh-CN"/>
                        </w:rPr>
                        <w:t>及监测点位</w:t>
                      </w:r>
                      <w:r>
                        <w:rPr>
                          <w:rFonts w:hint="eastAsia"/>
                          <w:b/>
                          <w:bCs/>
                          <w:sz w:val="21"/>
                          <w:szCs w:val="21"/>
                          <w:lang w:val="en-US" w:eastAsia="zh-CN"/>
                        </w:rPr>
                        <w:t>图</w:t>
                      </w:r>
                    </w:p>
                  </w:txbxContent>
                </v:textbox>
              </v:shape>
            </w:pict>
          </mc:Fallback>
        </mc:AlternateConten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八</w:t>
            </w:r>
            <w:r>
              <w:rPr>
                <w:rFonts w:hint="default" w:ascii="Times New Roman" w:hAnsi="Times New Roman" w:eastAsia="宋体" w:cs="Times New Roman"/>
                <w:b/>
                <w:bCs/>
                <w:color w:val="000000"/>
                <w:sz w:val="24"/>
                <w:szCs w:val="24"/>
                <w:lang w:val="en-US" w:eastAsia="zh-CN"/>
              </w:rPr>
              <w:t>、建设项目环境影响报告表主要结论及审批部门审批决定：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年产4万t沥青混凝土拌和站技改项目符合国家产业政策，选址符合城市发展总体规划，选址合理。项目运营期采取的污染防治措施有效可行；产生的废水、废气、噪声能够达标排放，固体废物得到合理有效处置；污染物排放满足总量控制要求，环境风险可以接受，因此，在项目在营运期有效落实本次环评中各项污染防治措施的基础上，保证环保措施正常运行，环境影响角度分析，该项目的建设可行</w:t>
            </w:r>
            <w:r>
              <w:rPr>
                <w:rFonts w:hint="default"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一、安徽华仁路桥工程有限公司年产4万t沥青混凝</w:t>
            </w:r>
            <w:r>
              <w:rPr>
                <w:rFonts w:hint="eastAsia" w:ascii="Times New Roman" w:hAnsi="Times New Roman" w:eastAsia="宋体" w:cs="Times New Roman"/>
                <w:color w:val="auto"/>
                <w:sz w:val="24"/>
                <w:szCs w:val="24"/>
                <w:lang w:eastAsia="zh-CN"/>
              </w:rPr>
              <w:t>土</w:t>
            </w:r>
            <w:r>
              <w:rPr>
                <w:rFonts w:hint="default" w:ascii="Times New Roman" w:hAnsi="Times New Roman" w:eastAsia="宋体" w:cs="Times New Roman"/>
                <w:color w:val="auto"/>
                <w:sz w:val="24"/>
                <w:szCs w:val="24"/>
                <w:lang w:eastAsia="zh-CN"/>
              </w:rPr>
              <w:t>拌合站技改项目选址于宁国经济技术开发区南山园区宜黄线。项目将原电加热炉处理工艺改为天然气加热，产能不变项目经宁国经济技术开发区管委会(宁开发项[2022]14号)同意备案，项目代码:2201-341862-04-02-559240。经我局研究，原则同意项目建设。</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二、项目不新增废水排放，接入污水管网后，废水排放执行《污水综合排放标准》 (GB8978-1996) 三级排放限值及宜黄线污水处理站接管标准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待污水管网接入城北污水处理厂后，废水排放执行《污水综合排放标准》(GB8978-1996三级排放限值及城北污水处理厂接管标准。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三、项目天然气燃烧废气排放执行《锅炉大气污染物排放标准》 (GB13271-2014) 特别排放限值，其中氮氧化物参照《关于印发《安徽省 2020 年大气污染防治重点工作任务)的通知》 (皖大气办[2020]2号)中相关要求“氮氧化物排放浓度不高于50毫克/立方米”</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四、运营期厂界噪声执行《工业企业厂界环境噪声排放标准》(GB12348-2008)中的3类标准。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五、该项目固体废弃物执行《一般工业固体废物贮存和填埋污染控制标准》 (GB18599-2020)相关要求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危险废物执行《危险废物贮存污染控制标准》 (GB18597-2001)及其修改单。</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六、项目建成后，全厂总量控制指标SO</w:t>
            </w:r>
            <w:r>
              <w:rPr>
                <w:rFonts w:hint="eastAsia"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为 0.12t/a，NO</w:t>
            </w:r>
            <w:r>
              <w:rPr>
                <w:rFonts w:hint="eastAsia"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eastAsia="zh-CN"/>
              </w:rPr>
              <w:t>为 0.476t/a，烟粉尘为 2.981t/a</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七、严格执行排污许可制度。建设项目发生实际排污行为之前应申领排污许可证，建设项目无证排污或不按证排污的，根据环境保护设施验收条件有关规定，你单位不得出具环境保护设施验收合格意见。</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八、项目建设应严格执行环境保护设施与主体工程同时设计、同时施工、同时投入使用的环境保护“三同时”制度并按照有关规定自主组织竣工环保验收，验收报告公示期满后5个工作日内，应当登录全国建设项目竣工环境保护验收信息平台，填报建设项目基本信息、环境保护设施验收情况等相关信息</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eastAsia" w:ascii="Times New Roman" w:hAnsi="Times New Roman" w:eastAsia="宋体" w:cs="Times New Roman"/>
                <w:b/>
                <w:bCs/>
                <w:color w:val="000000"/>
                <w:sz w:val="24"/>
                <w:szCs w:val="24"/>
                <w:lang w:val="en-US" w:eastAsia="zh-CN"/>
              </w:rPr>
              <w:t>九</w:t>
            </w:r>
            <w:r>
              <w:rPr>
                <w:rFonts w:hint="default" w:ascii="Times New Roman" w:hAnsi="Times New Roman" w:eastAsia="宋体" w:cs="Times New Roman"/>
                <w:b/>
                <w:bCs/>
                <w:color w:val="000000"/>
                <w:sz w:val="24"/>
                <w:szCs w:val="24"/>
                <w:lang w:val="en-US" w:eastAsia="zh-CN"/>
              </w:rPr>
              <w:t>、环评批复落实情况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9</w:t>
            </w:r>
            <w:r>
              <w:rPr>
                <w:rFonts w:hint="default" w:ascii="Times New Roman" w:hAnsi="Times New Roman" w:eastAsia="宋体" w:cs="Times New Roman"/>
                <w:b/>
                <w:bCs/>
                <w:color w:val="000000"/>
                <w:sz w:val="24"/>
                <w:szCs w:val="24"/>
                <w:lang w:val="en-US" w:eastAsia="zh-CN"/>
              </w:rPr>
              <w:t>-1 环评批复要求与落实情况对照表</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安徽华仁路桥工程有限公司年产4万t 沥青混凝+拌合站技改项目选址于宁国经济技术开发区南山园区宜黄线。项目将原电加热炉处理工艺改为天然气加热，产能不变项目经宁国经济技术开发区管委会 (宁开发项[2022]14号)同意备案，项目代码:2201-341862-04-02-559240。经我局研究，原则同意项目建设</w:t>
                  </w:r>
                  <w:r>
                    <w:rPr>
                      <w:rFonts w:hint="eastAsia" w:ascii="Times New Roman" w:hAnsi="Times New Roman" w:eastAsia="宋体" w:cs="Times New Roman"/>
                      <w:color w:val="auto"/>
                      <w:sz w:val="21"/>
                      <w:szCs w:val="21"/>
                      <w:highlight w:val="none"/>
                      <w:lang w:eastAsia="zh-CN"/>
                    </w:rPr>
                    <w:t>。</w:t>
                  </w:r>
                </w:p>
              </w:tc>
              <w:tc>
                <w:tcPr>
                  <w:tcW w:w="2654" w:type="pct"/>
                  <w:tcBorders>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default" w:ascii="Times New Roman" w:hAnsi="Times New Roman" w:eastAsia="宋体" w:cs="Times New Roman"/>
                      <w:color w:val="auto"/>
                      <w:sz w:val="21"/>
                      <w:szCs w:val="21"/>
                      <w:highlight w:val="none"/>
                      <w:lang w:eastAsia="zh-CN"/>
                    </w:rPr>
                    <w:t>宁国经济技术开发区南山园区宜黄线</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项目不新增废水排放，接入污水管网后，废水排放执行《污水综合排放标准》 (GB8978-1996) 三级排放限值及宜黄线污水处理站接管标准</w:t>
                  </w:r>
                  <w:r>
                    <w:rPr>
                      <w:rFonts w:hint="eastAsia" w:ascii="Times New Roman" w:hAnsi="Times New Roman" w:cs="Times New Roman"/>
                      <w:sz w:val="21"/>
                      <w:szCs w:val="21"/>
                      <w:lang w:val="en-US" w:eastAsia="zh-CN" w:bidi="ar-SA"/>
                    </w:rPr>
                    <w:t>：</w:t>
                  </w:r>
                  <w:r>
                    <w:rPr>
                      <w:rFonts w:hint="default" w:ascii="Times New Roman" w:hAnsi="Times New Roman" w:cs="Times New Roman" w:eastAsiaTheme="minorEastAsia"/>
                      <w:sz w:val="21"/>
                      <w:szCs w:val="21"/>
                      <w:lang w:val="en-US" w:eastAsia="zh-CN" w:bidi="ar-SA"/>
                    </w:rPr>
                    <w:t>待污水管网接入城北污水处理厂后，废水排放执行《污水综合排放标准》(GB8978-1996三级排放限值及城北污水处理厂接管标准</w:t>
                  </w:r>
                  <w:r>
                    <w:rPr>
                      <w:rFonts w:hint="eastAsia" w:ascii="Times New Roman" w:hAnsi="Times New Roman" w:cs="Times New Roman"/>
                      <w:sz w:val="21"/>
                      <w:szCs w:val="21"/>
                      <w:lang w:val="en-US" w:eastAsia="zh-CN" w:bidi="ar-SA"/>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生活污水由</w:t>
                  </w:r>
                  <w:r>
                    <w:rPr>
                      <w:rFonts w:hint="eastAsia" w:ascii="Times New Roman" w:hAnsi="Times New Roman" w:cs="Times New Roman"/>
                      <w:color w:val="000000"/>
                      <w:sz w:val="21"/>
                      <w:szCs w:val="21"/>
                      <w:lang w:val="en-US" w:eastAsia="zh-CN" w:bidi="ar-SA"/>
                    </w:rPr>
                    <w:t>地埋式污水处理设施</w:t>
                  </w:r>
                  <w:r>
                    <w:rPr>
                      <w:rFonts w:hint="default" w:ascii="Times New Roman" w:hAnsi="Times New Roman" w:cs="Times New Roman" w:eastAsiaTheme="minorEastAsia"/>
                      <w:color w:val="000000"/>
                      <w:sz w:val="21"/>
                      <w:szCs w:val="21"/>
                      <w:lang w:val="en-US" w:eastAsia="zh-CN" w:bidi="ar-SA"/>
                    </w:rPr>
                    <w:t>处理后，排入市政污水管网，进入</w:t>
                  </w:r>
                  <w:r>
                    <w:rPr>
                      <w:rFonts w:hint="eastAsia" w:ascii="Times New Roman" w:hAnsi="Times New Roman" w:cs="Times New Roman"/>
                      <w:color w:val="000000"/>
                      <w:sz w:val="21"/>
                      <w:szCs w:val="21"/>
                      <w:lang w:val="en-US" w:eastAsia="zh-CN" w:bidi="ar-SA"/>
                    </w:rPr>
                    <w:t>宜黄线污水处理站</w:t>
                  </w:r>
                  <w:r>
                    <w:rPr>
                      <w:rFonts w:hint="default" w:ascii="Times New Roman" w:hAnsi="Times New Roman" w:cs="Times New Roman" w:eastAsiaTheme="minorEastAsia"/>
                      <w:color w:val="000000"/>
                      <w:sz w:val="21"/>
                      <w:szCs w:val="21"/>
                      <w:lang w:val="en-US" w:eastAsia="zh-CN" w:bidi="ar-SA"/>
                    </w:rPr>
                    <w:t>处理，处理达标后尾水排入中津河。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项目天然气燃烧废气排放执行《锅炉大气污染物排放标准》 (GB13271-2014) 特别排放限值，其中氮氧化物参照《关于印发《安徽省 2020 年大气污染防治重点工作任务)的通知》 (皖大气办[2020]2号)中相关要求“氮氧化物排放浓度不高于50毫克/立方米”</w:t>
                  </w:r>
                  <w:r>
                    <w:rPr>
                      <w:rFonts w:hint="eastAsia" w:ascii="Times New Roman" w:hAnsi="Times New Roman" w:eastAsia="宋体" w:cs="Times New Roman"/>
                      <w:sz w:val="21"/>
                      <w:szCs w:val="21"/>
                      <w:lang w:eastAsia="zh-CN"/>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天然气燃烧废气经低氮燃烧器处理后，通过一根8m排气筒排放（DA001）</w:t>
                  </w:r>
                  <w:r>
                    <w:rPr>
                      <w:rFonts w:hint="default" w:ascii="Times New Roman" w:hAnsi="Times New Roman" w:cs="Times New Roman" w:eastAsiaTheme="minorEastAsia"/>
                      <w:color w:val="00000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运营期厂界噪声执行《工业企业厂界环境噪声排放标准》(GB12348-2008)中的3类标准。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采取减震、隔声措施，并合理布置生产车间内的设备降低噪声对环境的影响。厂界噪声满足《工业企业厂界环境噪声排放标准》（GB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该项目固体废弃物执行《一般工业固体废物贮存和填埋污染控制标准》 (GB18599-2020)相关要求；危险废物执行《危险废物贮存污染控制标准》 (GB18597-2001)及其修改单。</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项目产生的固废主要包括一般固废、危险废物及生活垃圾。一般固废有布袋收尘、沉淀泥沙、滴漏沥青、拌和残渣、生活垃圾，危险废物有废活性炭、废导热油、废机油、废机油桶。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项目建成后，全厂总量控制指标SO2为 0.12t/a，NOx为 0.476t/a，烟粉尘为 2.981t/a。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严格执行排污许可制度。建设项目发生实际排污行为之前应申领排污许可证，建设项目无证排污或不按证排污的，根据环境保护设施验收条件有关规定，你单位不得出具环境保护设施验收合格意见</w:t>
                  </w:r>
                  <w:r>
                    <w:rPr>
                      <w:rFonts w:hint="eastAsia" w:ascii="Times New Roman" w:hAnsi="Times New Roman" w:eastAsia="宋体" w:cs="Times New Roman"/>
                      <w:color w:val="000000"/>
                      <w:sz w:val="21"/>
                      <w:szCs w:val="21"/>
                      <w:lang w:eastAsia="zh-CN"/>
                    </w:rPr>
                    <w:t>。</w:t>
                  </w:r>
                </w:p>
              </w:tc>
              <w:tc>
                <w:tcPr>
                  <w:tcW w:w="2654" w:type="pct"/>
                  <w:tcBorders>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落实</w:t>
                  </w:r>
                </w:p>
                <w:p>
                  <w:pPr>
                    <w:pStyle w:val="23"/>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安徽华仁路桥工程有限公司于2020年8月5日进行排污许可填报，有效期为2020年5月28日至2023年</w:t>
                  </w:r>
                  <w:r>
                    <w:rPr>
                      <w:rFonts w:hint="eastAsia" w:ascii="Times New Roman" w:hAnsi="Times New Roman" w:cs="Times New Roman" w:eastAsiaTheme="minorEastAsia"/>
                      <w:color w:val="000000"/>
                      <w:sz w:val="21"/>
                      <w:szCs w:val="21"/>
                      <w:lang w:val="en-US" w:eastAsia="zh-CN" w:bidi="ar-SA"/>
                    </w:rPr>
                    <w:t>5</w:t>
                  </w:r>
                  <w:r>
                    <w:rPr>
                      <w:rFonts w:hint="default" w:ascii="Times New Roman" w:hAnsi="Times New Roman" w:cs="Times New Roman" w:eastAsiaTheme="minorEastAsia"/>
                      <w:color w:val="000000"/>
                      <w:sz w:val="21"/>
                      <w:szCs w:val="21"/>
                      <w:lang w:val="en-US" w:eastAsia="zh-CN" w:bidi="ar-SA"/>
                    </w:rPr>
                    <w:t>月27日。排污许可证编号：91341881675859550P001W。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建设应严格执行环境保护设施与主体工程同时设计、同时施工、同时投入使用的环境保护“三同时”制度并按照有关规定自主组织竣工环保验收，验收报告公示期满后5个工作日内，应当登录全国建设项目竣工环境保护验收信息平台，填报建设项目基本信息、环境保护设施验收情况等相关信息。</w:t>
                  </w:r>
                </w:p>
              </w:tc>
              <w:tc>
                <w:tcPr>
                  <w:tcW w:w="2654" w:type="pct"/>
                  <w:tcBorders>
                    <w:righ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本次申请验收。</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w:t>
            </w:r>
            <w:r>
              <w:rPr>
                <w:rFonts w:hint="default" w:ascii="Times New Roman" w:hAnsi="Times New Roman" w:eastAsia="宋体" w:cs="Times New Roman"/>
                <w:b/>
                <w:bCs/>
                <w:color w:val="000000"/>
                <w:sz w:val="24"/>
                <w:szCs w:val="24"/>
                <w:lang w:val="en-US" w:eastAsia="zh-CN"/>
              </w:rPr>
              <w:t>、验收监测质量保证及质量控制：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本次验收检测采样及样品分析均严格按照《环境监测质量保证管理规定（暂行）》、大气污染物无组织排放监测技术导则（HJ/T 55-2000）、污水监测技术规范（HJ 91.1-2019）及相关环境监测技术规范的要求进行，实施全程序质量控制。项目检测前，相关部门根据检测方案制定了详细的质量控制计划，并按照计划实施。具体质控要求如下：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（1）生产处于正常。检测期间生产工况稳定运行，各污染治理设施运行正常。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①废水检测仪器符合国家有关标准或技术要求。采样、运输、保存、分析全过程严格按照污水监测技术规范（HJ 91.1-2019）规定执行。按照质量控制计划的要求通过空白、平行样、质控标样等质控措施做好准确度和精密度控制。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 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④噪声检测方法按《工业企业厂界 环境噪声排放标准》（GB12348-2008）要求进行，采用等效声级Leq（A）值为进行了评价，各项质控措施和结果满足相关规范的要求。评价量，统计声级 L10、L50、L90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w:t>
            </w:r>
            <w:r>
              <w:rPr>
                <w:rFonts w:hint="eastAsia" w:ascii="Times New Roman" w:hAnsi="Times New Roman" w:eastAsia="宋体" w:cs="Times New Roman"/>
                <w:b/>
                <w:bCs/>
                <w:sz w:val="24"/>
                <w:szCs w:val="24"/>
                <w:lang w:val="en-US" w:eastAsia="zh-CN"/>
              </w:rPr>
              <w:t>一</w:t>
            </w:r>
            <w:r>
              <w:rPr>
                <w:rFonts w:hint="default" w:ascii="Times New Roman" w:hAnsi="Times New Roman" w:eastAsia="宋体" w:cs="Times New Roman"/>
                <w:b/>
                <w:bCs/>
                <w:sz w:val="24"/>
                <w:szCs w:val="24"/>
                <w:lang w:val="en-US" w:eastAsia="zh-CN"/>
              </w:rPr>
              <w:t>、验收监测内容：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-1 废水监测内容一览表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3810"/>
              <w:gridCol w:w="2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tl2br w:val="nil"/>
                    <w:tr2bl w:val="nil"/>
                  </w:tcBorders>
                  <w:noWrap w:val="0"/>
                  <w:vAlign w:val="center"/>
                </w:tcPr>
                <w:p>
                  <w:pPr>
                    <w:pStyle w:val="23"/>
                    <w:spacing w:line="240" w:lineRule="auto"/>
                    <w:jc w:val="center"/>
                    <w:rPr>
                      <w:rFonts w:hint="default" w:ascii="Times New Roman" w:hAnsi="Times New Roman" w:cs="Times New Roman"/>
                      <w:lang w:val="en-US" w:eastAsia="zh-CN"/>
                    </w:rPr>
                  </w:pPr>
                  <w:bookmarkStart w:id="2" w:name="_Toc5005"/>
                  <w:r>
                    <w:rPr>
                      <w:rFonts w:hint="eastAsia" w:ascii="Times New Roman" w:hAnsi="Times New Roman" w:cs="Times New Roman"/>
                      <w:lang w:val="en-US" w:eastAsia="zh-CN"/>
                    </w:rPr>
                    <w:t>生活</w:t>
                  </w:r>
                  <w:r>
                    <w:rPr>
                      <w:rFonts w:hint="default" w:ascii="Times New Roman" w:hAnsi="Times New Roman" w:cs="Times New Roman"/>
                      <w:lang w:val="en-US" w:eastAsia="zh-CN"/>
                    </w:rPr>
                    <w:t>污水排口</w:t>
                  </w:r>
                </w:p>
              </w:tc>
              <w:tc>
                <w:tcPr>
                  <w:tcW w:w="3822" w:type="dxa"/>
                  <w:tcBorders>
                    <w:tl2br w:val="nil"/>
                    <w:tr2bl w:val="nil"/>
                  </w:tcBorders>
                  <w:noWrap w:val="0"/>
                  <w:vAlign w:val="center"/>
                </w:tcPr>
                <w:p>
                  <w:pPr>
                    <w:pStyle w:val="23"/>
                    <w:spacing w:line="240" w:lineRule="auto"/>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pH、</w:t>
                  </w: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p>
              </w:tc>
              <w:tc>
                <w:tcPr>
                  <w:tcW w:w="2449" w:type="dxa"/>
                  <w:tcBorders>
                    <w:tl2br w:val="nil"/>
                    <w:tr2bl w:val="nil"/>
                  </w:tcBorders>
                  <w:noWrap w:val="0"/>
                  <w:vAlign w:val="center"/>
                </w:tcPr>
                <w:p>
                  <w:pPr>
                    <w:pStyle w:val="23"/>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eastAsia" w:ascii="Times New Roman" w:hAnsi="Times New Roman" w:cs="Times New Roman"/>
                      <w:lang w:val="en-US" w:eastAsia="zh-CN"/>
                    </w:rPr>
                    <w:t>1</w:t>
                  </w:r>
                  <w:r>
                    <w:rPr>
                      <w:rFonts w:hint="default" w:ascii="Times New Roman" w:hAnsi="Times New Roman" w:cs="Times New Roman"/>
                    </w:rPr>
                    <w:t>点/</w:t>
                  </w:r>
                  <w:r>
                    <w:rPr>
                      <w:rFonts w:hint="eastAsia"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-2 废气监测内容一览表</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3387"/>
              <w:gridCol w:w="2903"/>
              <w:gridCol w:w="1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89"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天然气燃烧废气排气筒</w:t>
                  </w:r>
                  <w:r>
                    <w:rPr>
                      <w:rFonts w:hint="default" w:ascii="Times New Roman" w:hAnsi="Times New Roman" w:cs="Times New Roman"/>
                      <w:lang w:val="en-US" w:eastAsia="zh-CN"/>
                    </w:rPr>
                    <w:t>（DA0</w:t>
                  </w:r>
                  <w:r>
                    <w:rPr>
                      <w:rFonts w:hint="eastAsia" w:ascii="Times New Roman" w:hAnsi="Times New Roman" w:cs="Times New Roman"/>
                      <w:lang w:val="en-US" w:eastAsia="zh-CN"/>
                    </w:rPr>
                    <w:t>01</w:t>
                  </w:r>
                  <w:r>
                    <w:rPr>
                      <w:rFonts w:hint="default" w:ascii="Times New Roman" w:hAnsi="Times New Roman" w:cs="Times New Roman"/>
                      <w:lang w:val="en-US" w:eastAsia="zh-CN"/>
                    </w:rPr>
                    <w:t>）</w:t>
                  </w:r>
                  <w:r>
                    <w:rPr>
                      <w:rFonts w:hint="eastAsia" w:ascii="Times New Roman" w:hAnsi="Times New Roman" w:cs="Times New Roman"/>
                      <w:lang w:val="en-US" w:eastAsia="zh-CN"/>
                    </w:rPr>
                    <w:t>出口</w:t>
                  </w:r>
                </w:p>
              </w:tc>
              <w:tc>
                <w:tcPr>
                  <w:tcW w:w="166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颗粒物、二氧化硫、氮氧化物</w:t>
                  </w:r>
                </w:p>
              </w:tc>
              <w:tc>
                <w:tcPr>
                  <w:tcW w:w="795"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1点/3批次/2天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厂界噪声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-3 噪声监测内容一览表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00"/>
              <w:gridCol w:w="2258"/>
              <w:gridCol w:w="2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tl2br w:val="nil"/>
                    <w:tr2bl w:val="nil"/>
                  </w:tcBorders>
                  <w:noWrap w:val="0"/>
                  <w:vAlign w:val="center"/>
                </w:tcPr>
                <w:p>
                  <w:pPr>
                    <w:pStyle w:val="23"/>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w:t>
            </w:r>
            <w:r>
              <w:rPr>
                <w:rFonts w:hint="eastAsia" w:ascii="Times New Roman" w:hAnsi="Times New Roman" w:cs="Times New Roman"/>
                <w:b/>
                <w:bCs/>
                <w:sz w:val="24"/>
                <w:szCs w:val="24"/>
                <w:lang w:val="en-US" w:eastAsia="zh-CN"/>
              </w:rPr>
              <w:t>二</w:t>
            </w:r>
            <w:r>
              <w:rPr>
                <w:rFonts w:hint="default" w:ascii="Times New Roman" w:hAnsi="Times New Roman" w:cs="Times New Roman"/>
                <w:b/>
                <w:bCs/>
                <w:sz w:val="24"/>
                <w:szCs w:val="24"/>
                <w:lang w:val="en-US" w:eastAsia="zh-CN"/>
              </w:rPr>
              <w:t>、验收监测结果：</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cs="Times New Roman" w:eastAsiaTheme="minorEastAsia"/>
                <w:sz w:val="24"/>
                <w:szCs w:val="24"/>
                <w:lang w:val="en-US" w:eastAsia="zh-CN"/>
              </w:rPr>
            </w:pPr>
            <w:r>
              <w:rPr>
                <w:rFonts w:hint="default"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w:t>
            </w:r>
            <w:r>
              <w:rPr>
                <w:rFonts w:hint="eastAsia" w:ascii="Times New Roman" w:hAnsi="Times New Roman" w:cs="Times New Roman"/>
                <w:color w:val="auto"/>
                <w:sz w:val="24"/>
                <w:lang w:eastAsia="zh-CN"/>
              </w:rPr>
              <w:t>天然气燃烧</w:t>
            </w:r>
            <w:r>
              <w:rPr>
                <w:rFonts w:hint="default" w:ascii="Times New Roman" w:hAnsi="Times New Roman" w:cs="Times New Roman"/>
                <w:color w:val="auto"/>
                <w:sz w:val="24"/>
              </w:rPr>
              <w:t>废气</w:t>
            </w:r>
            <w:r>
              <w:rPr>
                <w:rFonts w:hint="eastAsia" w:ascii="Times New Roman" w:hAnsi="Times New Roman" w:cs="Times New Roman"/>
                <w:color w:val="auto"/>
                <w:sz w:val="24"/>
                <w:lang w:eastAsia="zh-CN"/>
              </w:rPr>
              <w:t>中颗粒物、二氧化硫、氮氧化物排放满足</w:t>
            </w:r>
            <w:r>
              <w:rPr>
                <w:rFonts w:hint="default" w:ascii="Times New Roman" w:hAnsi="Times New Roman" w:cs="Times New Roman"/>
                <w:color w:val="auto"/>
                <w:sz w:val="24"/>
              </w:rPr>
              <w:t>《锅炉大气污染物排放标准》(GB13271-2014) 特别排放限值，其中氮氧化物参照《关于印发《安徽省 2020 年大气污染防治重点工作任务)的通知》 (皖大气办[2020]2号)中相关要求“氮氧化物排放浓度不高于50毫克/立方米”</w:t>
            </w:r>
            <w:r>
              <w:rPr>
                <w:rFonts w:hint="eastAsia" w:ascii="Times New Roman" w:hAnsi="Times New Roman" w:cs="Times New Roman"/>
                <w:color w:val="auto"/>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锅炉废气排放监测结果</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1211"/>
              <w:gridCol w:w="1555"/>
              <w:gridCol w:w="1200"/>
              <w:gridCol w:w="1298"/>
              <w:gridCol w:w="1200"/>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受检设备</w:t>
                  </w: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有机热载体锅炉YY(Q)W-900Y(Q)</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燃料</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天然气</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基准含氧量</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2023.04.14</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分析日期</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2023.04.16</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排气筒高度</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0" w:type="auto"/>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0" w:type="auto"/>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0" w:type="auto"/>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14:09～14:25</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14:27～14:43</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14:45～15:01</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锅炉废气排气筒出口</w:t>
                  </w: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含氧量%</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4.71</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3.88</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4.63</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平均烟温（℃）</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163.05</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163.16</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163.21</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含湿量（%）</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平均流速（m/s）</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5.56</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5.43</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5.46</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1535</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1500</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1509</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4.5</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5.8</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6.0</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折算</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6.4</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0.007</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0.009</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0.009</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折算</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33</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30</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28</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折算</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0.051</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0.045</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0.042</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备注</w:t>
                  </w:r>
                </w:p>
              </w:tc>
              <w:tc>
                <w:tcPr>
                  <w:tcW w:w="0" w:type="auto"/>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b w:val="0"/>
                      <w:bCs w:val="0"/>
                      <w:sz w:val="21"/>
                      <w:szCs w:val="21"/>
                      <w:vertAlign w:val="baseline"/>
                      <w:lang w:val="en-US" w:eastAsia="zh-CN"/>
                    </w:rPr>
                  </w:pPr>
                </w:p>
              </w:tc>
            </w:tr>
          </w:tbl>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textAlignment w:val="auto"/>
              <w:rPr>
                <w:rFonts w:hint="default"/>
                <w:lang w:val="en-US"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672"/>
              <w:gridCol w:w="2094"/>
              <w:gridCol w:w="1200"/>
              <w:gridCol w:w="1298"/>
              <w:gridCol w:w="1200"/>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受检设备</w:t>
                  </w:r>
                </w:p>
              </w:tc>
              <w:tc>
                <w:tcPr>
                  <w:tcW w:w="0" w:type="auto"/>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有机热载体锅炉</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YY(Q)W-900Y(Q)</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燃料</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天然气</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基准含氧量</w:t>
                  </w:r>
                </w:p>
              </w:tc>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27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2023.04.15</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分析日期</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2023.04.16</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排气筒高度</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2766"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4493"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766"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14:12～14:28</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14:30～14:46</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14:49～15:05</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锅炉废气排气筒出口</w:t>
                  </w:r>
                </w:p>
              </w:tc>
              <w:tc>
                <w:tcPr>
                  <w:tcW w:w="27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含氧量%</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4.63</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4.60</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4.50</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7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平均烟温（℃）</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165.50</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168.59</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165.67</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含湿量（%）</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w:t>
                  </w: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7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平均流速（m/s）</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5.92</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5.42</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5.46</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27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1626</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1488</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1498</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6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6.6</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5.4</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6.3</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折算</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6.7</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0.011</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0.008</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0.009</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二氧化硫</w:t>
                  </w: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折算</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0.018</w:t>
                  </w:r>
                </w:p>
              </w:tc>
              <w:tc>
                <w:tcPr>
                  <w:tcW w:w="1298"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0.021</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0.021</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氮氧化物</w:t>
                  </w: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23</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23</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32</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折算</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7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0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0.041</w:t>
                  </w:r>
                </w:p>
              </w:tc>
              <w:tc>
                <w:tcPr>
                  <w:tcW w:w="129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0.036</w:t>
                  </w:r>
                </w:p>
              </w:tc>
              <w:tc>
                <w:tcPr>
                  <w:tcW w:w="120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0.051</w:t>
                  </w:r>
                </w:p>
              </w:tc>
              <w:tc>
                <w:tcPr>
                  <w:tcW w:w="79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0" w:type="auto"/>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备注</w:t>
                  </w:r>
                </w:p>
              </w:tc>
              <w:tc>
                <w:tcPr>
                  <w:tcW w:w="0" w:type="auto"/>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生活污水</w:t>
            </w:r>
            <w:r>
              <w:rPr>
                <w:rFonts w:hint="default" w:ascii="Times New Roman" w:hAnsi="Times New Roman" w:eastAsia="宋体" w:cs="Times New Roman"/>
                <w:color w:val="000000"/>
                <w:sz w:val="24"/>
                <w:szCs w:val="24"/>
                <w:lang w:val="en-US" w:eastAsia="zh-CN"/>
              </w:rPr>
              <w:t>排放满足</w:t>
            </w:r>
            <w:r>
              <w:rPr>
                <w:rFonts w:hint="default" w:ascii="Times New Roman" w:hAnsi="Times New Roman" w:eastAsia="宋体" w:cs="Times New Roman"/>
                <w:bCs/>
                <w:color w:val="auto"/>
                <w:sz w:val="24"/>
                <w:szCs w:val="24"/>
                <w:lang w:eastAsia="zh-CN"/>
              </w:rPr>
              <w:t>《污水综合排放标准》（</w:t>
            </w:r>
            <w:r>
              <w:rPr>
                <w:rFonts w:hint="default" w:ascii="Times New Roman" w:hAnsi="Times New Roman" w:eastAsia="宋体" w:cs="Times New Roman"/>
                <w:bCs/>
                <w:color w:val="auto"/>
                <w:sz w:val="24"/>
                <w:szCs w:val="24"/>
                <w:lang w:val="en-US" w:eastAsia="zh-CN"/>
              </w:rPr>
              <w:t>GB8978-1996</w:t>
            </w:r>
            <w:r>
              <w:rPr>
                <w:rFonts w:hint="default" w:ascii="Times New Roman" w:hAnsi="Times New Roman" w:eastAsia="宋体" w:cs="Times New Roman"/>
                <w:bCs/>
                <w:color w:val="auto"/>
                <w:sz w:val="24"/>
                <w:szCs w:val="24"/>
                <w:lang w:eastAsia="zh-CN"/>
              </w:rPr>
              <w:t>）表</w:t>
            </w:r>
            <w:r>
              <w:rPr>
                <w:rFonts w:hint="default" w:ascii="Times New Roman" w:hAnsi="Times New Roman" w:eastAsia="宋体" w:cs="Times New Roman"/>
                <w:bCs/>
                <w:color w:val="auto"/>
                <w:sz w:val="24"/>
                <w:szCs w:val="24"/>
                <w:lang w:val="en-US" w:eastAsia="zh-CN"/>
              </w:rPr>
              <w:t>4中三级标准及</w:t>
            </w:r>
            <w:r>
              <w:rPr>
                <w:rFonts w:hint="eastAsia" w:ascii="Times New Roman" w:hAnsi="Times New Roman" w:eastAsia="宋体" w:cs="Times New Roman"/>
                <w:spacing w:val="-9"/>
                <w:sz w:val="24"/>
                <w:szCs w:val="24"/>
                <w:lang w:eastAsia="zh-CN"/>
              </w:rPr>
              <w:t>宜黄线</w:t>
            </w:r>
            <w:r>
              <w:rPr>
                <w:rFonts w:hint="default" w:ascii="Times New Roman" w:hAnsi="Times New Roman" w:eastAsia="宋体" w:cs="Times New Roman"/>
                <w:spacing w:val="-9"/>
                <w:sz w:val="24"/>
                <w:szCs w:val="24"/>
              </w:rPr>
              <w:t>污水处理</w:t>
            </w:r>
            <w:r>
              <w:rPr>
                <w:rFonts w:hint="eastAsia" w:ascii="Times New Roman" w:hAnsi="Times New Roman" w:eastAsia="宋体" w:cs="Times New Roman"/>
                <w:spacing w:val="-9"/>
                <w:sz w:val="24"/>
                <w:szCs w:val="24"/>
                <w:lang w:eastAsia="zh-CN"/>
              </w:rPr>
              <w:t>站</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2-2 </w:t>
            </w:r>
            <w:r>
              <w:rPr>
                <w:rFonts w:hint="default" w:ascii="Times New Roman" w:hAnsi="Times New Roman" w:eastAsia="宋体" w:cs="Times New Roman"/>
                <w:b/>
                <w:bCs/>
                <w:color w:val="000000"/>
                <w:sz w:val="21"/>
                <w:szCs w:val="21"/>
                <w:lang w:val="en-US" w:eastAsia="zh-CN"/>
              </w:rPr>
              <w:t>废水检测结果</w:t>
            </w:r>
          </w:p>
          <w:tbl>
            <w:tblPr>
              <w:tblStyle w:val="15"/>
              <w:tblW w:w="87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305"/>
              <w:gridCol w:w="1014"/>
              <w:gridCol w:w="958"/>
              <w:gridCol w:w="55"/>
              <w:gridCol w:w="1014"/>
              <w:gridCol w:w="1015"/>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b w:val="0"/>
                      <w:bCs w:val="0"/>
                      <w:kern w:val="2"/>
                      <w:sz w:val="21"/>
                      <w:szCs w:val="21"/>
                      <w:vertAlign w:val="baseline"/>
                      <w:lang w:val="en-US" w:eastAsia="zh-CN" w:bidi="ar-SA"/>
                    </w:rPr>
                    <w:t>2022.10.12</w:t>
                  </w:r>
                </w:p>
              </w:tc>
              <w:tc>
                <w:tcPr>
                  <w:tcW w:w="1972"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971" w:type="dxa"/>
                  <w:gridSpan w:val="4"/>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2022.10.12～2022.10.17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vertAlign w:val="baseline"/>
                      <w:lang w:val="en-US" w:eastAsia="zh-CN"/>
                    </w:rPr>
                    <w:t>样品名称</w:t>
                  </w:r>
                </w:p>
              </w:tc>
              <w:tc>
                <w:tcPr>
                  <w:tcW w:w="230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056"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887"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887"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pH值</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88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氨氮</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6.34</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6.37</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6.30</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6.34</w:t>
                  </w:r>
                </w:p>
              </w:tc>
              <w:tc>
                <w:tcPr>
                  <w:tcW w:w="88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w:t>
                  </w:r>
                </w:p>
              </w:tc>
              <w:tc>
                <w:tcPr>
                  <w:tcW w:w="88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67</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61</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61</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五日生化需氧量</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1013"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12.0</w:t>
                  </w:r>
                </w:p>
              </w:tc>
              <w:tc>
                <w:tcPr>
                  <w:tcW w:w="10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w:t>
                  </w:r>
                </w:p>
              </w:tc>
              <w:tc>
                <w:tcPr>
                  <w:tcW w:w="10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11.3</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噪声检测结果</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809"/>
              <w:gridCol w:w="1343"/>
              <w:gridCol w:w="1343"/>
              <w:gridCol w:w="1343"/>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检测结果</w:t>
                  </w:r>
                </w:p>
              </w:tc>
              <w:tc>
                <w:tcPr>
                  <w:tcW w:w="1037" w:type="pct"/>
                  <w:vMerge w:val="restart"/>
                  <w:tcBorders>
                    <w:top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检测点位</w:t>
                  </w:r>
                </w:p>
              </w:tc>
              <w:tc>
                <w:tcPr>
                  <w:tcW w:w="3083" w:type="pct"/>
                  <w:gridSpan w:val="4"/>
                  <w:tcBorders>
                    <w:top w:val="single" w:color="auto" w:sz="12"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vMerge w:val="continue"/>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2686"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2023.04.14</w:t>
                  </w:r>
                </w:p>
              </w:tc>
              <w:tc>
                <w:tcPr>
                  <w:tcW w:w="2693" w:type="dxa"/>
                  <w:gridSpan w:val="2"/>
                  <w:tcBorders>
                    <w:right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2023.04.15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vMerge w:val="continue"/>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770"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p>
              </w:tc>
              <w:tc>
                <w:tcPr>
                  <w:tcW w:w="770"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p>
              </w:tc>
              <w:tc>
                <w:tcPr>
                  <w:tcW w:w="770"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p>
              </w:tc>
              <w:tc>
                <w:tcPr>
                  <w:tcW w:w="773" w:type="pct"/>
                  <w:tcBorders>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1#东</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58.9</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52.6</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58.5</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2#南</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59.1</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53.2</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58.6</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3#西</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61.5</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56.8</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62.2</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4#北</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62.2</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56.7</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61.7</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6" w:type="pct"/>
                  <w:gridSpan w:val="2"/>
                  <w:tcBorders>
                    <w:left w:val="single" w:color="auto" w:sz="4" w:space="0"/>
                    <w:bottom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气相条件</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3083" w:type="pct"/>
                  <w:gridSpan w:val="4"/>
                  <w:tcBorders>
                    <w:bottom w:val="single" w:color="auto" w:sz="12" w:space="0"/>
                    <w:right w:val="single" w:color="auto" w:sz="12"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昼：多云 夜：多云 风速：1.2m/s</w:t>
                  </w: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总量核算表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49"/>
              <w:gridCol w:w="1449"/>
              <w:gridCol w:w="1450"/>
              <w:gridCol w:w="1450"/>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3"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3"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61</w:t>
                  </w:r>
                  <w:r>
                    <w:rPr>
                      <w:rFonts w:hint="default" w:ascii="Times New Roman" w:hAnsi="Times New Roman" w:cs="Times New Roman"/>
                      <w:sz w:val="21"/>
                      <w:szCs w:val="21"/>
                      <w:lang w:val="en-US" w:eastAsia="zh-CN"/>
                    </w:rPr>
                    <w:t>mg/L</w:t>
                  </w:r>
                </w:p>
              </w:tc>
              <w:tc>
                <w:tcPr>
                  <w:tcW w:w="832" w:type="pct"/>
                  <w:vMerge w:val="restar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180</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0.011</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6.34</w:t>
                  </w:r>
                  <w:r>
                    <w:rPr>
                      <w:rFonts w:hint="default" w:ascii="Times New Roman" w:hAnsi="Times New Roman" w:cs="Times New Roman"/>
                      <w:sz w:val="21"/>
                      <w:szCs w:val="21"/>
                      <w:lang w:val="en-US" w:eastAsia="zh-CN"/>
                    </w:rPr>
                    <w:t>mg/L</w:t>
                  </w:r>
                </w:p>
              </w:tc>
              <w:tc>
                <w:tcPr>
                  <w:tcW w:w="832" w:type="pct"/>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0.001</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0.009</w:t>
                  </w:r>
                  <w:r>
                    <w:rPr>
                      <w:rFonts w:hint="default" w:ascii="Times New Roman" w:hAnsi="Times New Roman" w:cs="Times New Roman"/>
                      <w:sz w:val="21"/>
                      <w:szCs w:val="21"/>
                      <w:lang w:val="en-US" w:eastAsia="zh-CN"/>
                    </w:rPr>
                    <w:t>kg/h</w:t>
                  </w:r>
                </w:p>
              </w:tc>
              <w:tc>
                <w:tcPr>
                  <w:tcW w:w="832" w:type="pct"/>
                  <w:vMerge w:val="restart"/>
                  <w:tcBorders>
                    <w:tl2br w:val="nil"/>
                    <w:tr2bl w:val="nil"/>
                  </w:tcBorders>
                  <w:vAlign w:val="center"/>
                </w:tcPr>
                <w:p>
                  <w:pPr>
                    <w:pStyle w:val="23"/>
                    <w:keepNext w:val="0"/>
                    <w:keepLines w:val="0"/>
                    <w:pageBreakBefore w:val="0"/>
                    <w:widowControl w:val="0"/>
                    <w:tabs>
                      <w:tab w:val="left" w:pos="358"/>
                      <w:tab w:val="center" w:pos="676"/>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2400</w:t>
                  </w:r>
                  <w:r>
                    <w:rPr>
                      <w:rFonts w:hint="default" w:ascii="Times New Roman" w:hAnsi="Times New Roman" w:cs="Times New Roman"/>
                      <w:sz w:val="21"/>
                      <w:szCs w:val="21"/>
                      <w:lang w:val="en-US" w:eastAsia="zh-CN"/>
                    </w:rPr>
                    <w:t>h/a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0.0216</w:t>
                  </w:r>
                  <w:r>
                    <w:rPr>
                      <w:rFonts w:hint="default" w:ascii="Times New Roman" w:hAnsi="Times New Roman" w:cs="Times New Roman"/>
                      <w:sz w:val="21"/>
                      <w:szCs w:val="21"/>
                      <w:lang w:val="en-US" w:eastAsia="zh-CN"/>
                    </w:rPr>
                    <w:t>t/a</w:t>
                  </w:r>
                </w:p>
              </w:tc>
              <w:tc>
                <w:tcPr>
                  <w:tcW w:w="1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ascii="Times New Roman" w:hAnsi="Times New Roman" w:cs="Times New Roman"/>
                      <w:sz w:val="21"/>
                      <w:szCs w:val="21"/>
                      <w:lang w:val="en-US" w:eastAsia="zh-CN"/>
                    </w:rPr>
                    <w:t>2.981</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0.019</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0.0456</w:t>
                  </w:r>
                  <w:r>
                    <w:rPr>
                      <w:rFonts w:hint="default" w:ascii="Times New Roman" w:hAnsi="Times New Roman" w:cs="Times New Roman"/>
                      <w:sz w:val="21"/>
                      <w:szCs w:val="21"/>
                      <w:lang w:val="en-US" w:eastAsia="zh-CN"/>
                    </w:rPr>
                    <w:t>t/a</w:t>
                  </w:r>
                </w:p>
              </w:tc>
              <w:tc>
                <w:tcPr>
                  <w:tcW w:w="1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0.12</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NO</w:t>
                  </w:r>
                  <w:r>
                    <w:rPr>
                      <w:rFonts w:hint="eastAsia" w:ascii="Times New Roman" w:hAnsi="Times New Roman" w:cs="Times New Roman"/>
                      <w:sz w:val="21"/>
                      <w:szCs w:val="21"/>
                      <w:vertAlign w:val="subscript"/>
                      <w:lang w:val="en-US" w:eastAsia="zh-CN"/>
                    </w:rPr>
                    <w:t>x</w:t>
                  </w:r>
                </w:p>
              </w:tc>
              <w:tc>
                <w:tcPr>
                  <w:tcW w:w="8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0.044</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0.1056</w:t>
                  </w:r>
                  <w:r>
                    <w:rPr>
                      <w:rFonts w:hint="default" w:ascii="Times New Roman" w:hAnsi="Times New Roman" w:cs="Times New Roman"/>
                      <w:sz w:val="21"/>
                      <w:szCs w:val="21"/>
                      <w:lang w:val="en-US" w:eastAsia="zh-CN"/>
                    </w:rPr>
                    <w:t>t/a</w:t>
                  </w:r>
                </w:p>
              </w:tc>
              <w:tc>
                <w:tcPr>
                  <w:tcW w:w="1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0.476</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702050" cy="2776220"/>
                  <wp:effectExtent l="0" t="0" r="12700" b="5080"/>
                  <wp:docPr id="2" name="图片 2" descr="a9d58d79d248aadd81e97d66c0ce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9d58d79d248aadd81e97d66c0ceb70"/>
                          <pic:cNvPicPr>
                            <a:picLocks noChangeAspect="1"/>
                          </pic:cNvPicPr>
                        </pic:nvPicPr>
                        <pic:blipFill>
                          <a:blip r:embed="rId15"/>
                          <a:stretch>
                            <a:fillRect/>
                          </a:stretch>
                        </pic:blipFill>
                        <pic:spPr>
                          <a:xfrm>
                            <a:off x="0" y="0"/>
                            <a:ext cx="3702050" cy="277622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-1 现场采样图</w:t>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3747135" cy="2809240"/>
                  <wp:effectExtent l="0" t="0" r="5715" b="10160"/>
                  <wp:docPr id="4" name="图片 4" descr="947b19dee72cf4396c32bb184ff9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7b19dee72cf4396c32bb184ff97da"/>
                          <pic:cNvPicPr>
                            <a:picLocks noChangeAspect="1"/>
                          </pic:cNvPicPr>
                        </pic:nvPicPr>
                        <pic:blipFill>
                          <a:blip r:embed="rId16"/>
                          <a:stretch>
                            <a:fillRect/>
                          </a:stretch>
                        </pic:blipFill>
                        <pic:spPr>
                          <a:xfrm>
                            <a:off x="0" y="0"/>
                            <a:ext cx="3747135" cy="280924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-2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十三、</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生活污水</w:t>
            </w:r>
            <w:r>
              <w:rPr>
                <w:rFonts w:hint="default" w:ascii="Times New Roman" w:hAnsi="Times New Roman" w:cs="Times New Roman"/>
                <w:color w:val="auto"/>
                <w:kern w:val="0"/>
                <w:sz w:val="24"/>
                <w:lang w:eastAsia="zh-CN"/>
              </w:rPr>
              <w:t>中主要污染物排放浓度满足《污水综合排放标准》（</w:t>
            </w:r>
            <w:r>
              <w:rPr>
                <w:rFonts w:hint="default" w:ascii="Times New Roman" w:hAnsi="Times New Roman" w:cs="Times New Roman"/>
                <w:color w:val="auto"/>
                <w:kern w:val="0"/>
                <w:sz w:val="24"/>
                <w:lang w:val="en-US" w:eastAsia="zh-CN"/>
              </w:rPr>
              <w:t>GB8978-96</w:t>
            </w:r>
            <w:r>
              <w:rPr>
                <w:rFonts w:hint="default" w:ascii="Times New Roman" w:hAnsi="Times New Roman" w:cs="Times New Roman"/>
                <w:color w:val="auto"/>
                <w:kern w:val="0"/>
                <w:sz w:val="24"/>
                <w:lang w:eastAsia="zh-CN"/>
              </w:rPr>
              <w:t>）表</w:t>
            </w:r>
            <w:r>
              <w:rPr>
                <w:rFonts w:hint="default" w:ascii="Times New Roman" w:hAnsi="Times New Roman" w:cs="Times New Roman"/>
                <w:color w:val="auto"/>
                <w:kern w:val="0"/>
                <w:sz w:val="24"/>
                <w:lang w:val="en-US" w:eastAsia="zh-CN"/>
              </w:rPr>
              <w:t>4中</w:t>
            </w:r>
            <w:r>
              <w:rPr>
                <w:rFonts w:hint="eastAsia" w:ascii="Times New Roman" w:hAnsi="Times New Roman" w:cs="Times New Roman"/>
                <w:color w:val="auto"/>
                <w:kern w:val="0"/>
                <w:sz w:val="24"/>
                <w:lang w:val="en-US" w:eastAsia="zh-CN"/>
              </w:rPr>
              <w:t>三</w:t>
            </w:r>
            <w:r>
              <w:rPr>
                <w:rFonts w:hint="default" w:ascii="Times New Roman" w:hAnsi="Times New Roman" w:cs="Times New Roman"/>
                <w:color w:val="auto"/>
                <w:kern w:val="0"/>
                <w:sz w:val="24"/>
                <w:lang w:val="en-US" w:eastAsia="zh-CN"/>
              </w:rPr>
              <w:t>级标准</w:t>
            </w:r>
            <w:r>
              <w:rPr>
                <w:rFonts w:hint="eastAsia" w:ascii="Times New Roman" w:hAnsi="Times New Roman" w:cs="Times New Roman"/>
                <w:color w:val="auto"/>
                <w:kern w:val="0"/>
                <w:sz w:val="24"/>
                <w:lang w:val="en-US" w:eastAsia="zh-CN"/>
              </w:rPr>
              <w:t>及</w:t>
            </w:r>
            <w:r>
              <w:rPr>
                <w:rFonts w:hint="eastAsia"/>
                <w:bCs/>
                <w:color w:val="auto"/>
                <w:sz w:val="24"/>
                <w:szCs w:val="24"/>
                <w:lang w:eastAsia="zh-CN"/>
              </w:rPr>
              <w:t>宜黄线污水处理站接管标准。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default" w:ascii="Times New Roman" w:hAnsi="Times New Roman" w:cs="Times New Roman" w:eastAsiaTheme="minorEastAsia"/>
                <w:sz w:val="24"/>
                <w:szCs w:val="24"/>
              </w:rPr>
              <w:t>项目</w:t>
            </w:r>
            <w:r>
              <w:rPr>
                <w:rFonts w:hint="eastAsia" w:ascii="Times New Roman" w:hAnsi="Times New Roman" w:cs="Times New Roman"/>
                <w:sz w:val="24"/>
                <w:szCs w:val="24"/>
                <w:lang w:eastAsia="zh-CN"/>
              </w:rPr>
              <w:t>锅炉废气排放满足《锅炉大气污染物排放标准》 (GB13271-2014) 特别排放限值的要求，其中氮氧化物满足《关于印发《安徽省 2020 年大气污染防治重点工作任务》的通知》 (皖大气办[2020]2号)中相关要求“氮氧化物排放浓度不高于50毫克/立方米”的要求</w:t>
            </w:r>
            <w:r>
              <w:rPr>
                <w:rFonts w:hint="default" w:ascii="Times New Roman" w:hAnsi="Times New Roman" w:cs="Times New Roman" w:eastAsia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eastAsia" w:ascii="Times New Roman" w:hAnsi="Times New Roman" w:eastAsia="宋体" w:cs="Times New Roman"/>
                <w:b w:val="0"/>
                <w:bCs w:val="0"/>
                <w:color w:val="auto"/>
                <w:sz w:val="24"/>
                <w:szCs w:val="24"/>
                <w:lang w:eastAsia="zh-CN"/>
              </w:rPr>
              <w:t>项目产生的固废主要包括一般固废、危险废物及生活垃圾。项目产生的固废主要包括一般固废、危险废物及生活垃圾。一般固废有布袋收尘、沉淀泥沙、滴漏沥青、拌和残渣、生活垃圾，危险废物有废活性炭、废导热油、废机油、废机油桶，收集后交有资质单位处置。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生活污水排入宜黄线污水处理站，NH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本项目烟粉尘排放总量为0.0216t/a，SO</w:t>
            </w:r>
            <w:r>
              <w:rPr>
                <w:rFonts w:hint="eastAsia" w:ascii="Times New Roman" w:hAnsi="Times New Roman" w:eastAsia="宋体" w:cs="Times New Roman"/>
                <w:color w:val="000000"/>
                <w:sz w:val="24"/>
                <w:szCs w:val="24"/>
                <w:vertAlign w:val="subscript"/>
                <w:lang w:val="en-US" w:eastAsia="zh-CN"/>
              </w:rPr>
              <w:t>2</w:t>
            </w:r>
            <w:r>
              <w:rPr>
                <w:rFonts w:hint="eastAsia" w:ascii="Times New Roman" w:hAnsi="Times New Roman" w:eastAsia="宋体" w:cs="Times New Roman"/>
                <w:color w:val="000000"/>
                <w:sz w:val="24"/>
                <w:szCs w:val="24"/>
                <w:lang w:val="en-US" w:eastAsia="zh-CN"/>
              </w:rPr>
              <w:t>排放总量为0.0456t/a，NO</w:t>
            </w:r>
            <w:r>
              <w:rPr>
                <w:rFonts w:hint="eastAsia" w:ascii="Times New Roman" w:hAnsi="Times New Roman" w:eastAsia="宋体" w:cs="Times New Roman"/>
                <w:color w:val="000000"/>
                <w:sz w:val="24"/>
                <w:szCs w:val="24"/>
                <w:vertAlign w:val="subscript"/>
                <w:lang w:val="en-US" w:eastAsia="zh-CN"/>
              </w:rPr>
              <w:t>x</w:t>
            </w:r>
            <w:r>
              <w:rPr>
                <w:rFonts w:hint="eastAsia" w:ascii="Times New Roman" w:hAnsi="Times New Roman" w:eastAsia="宋体" w:cs="Times New Roman"/>
                <w:color w:val="000000"/>
                <w:sz w:val="24"/>
                <w:szCs w:val="24"/>
                <w:lang w:val="en-US" w:eastAsia="zh-CN"/>
              </w:rPr>
              <w:t>排放总量为0.1056t/a，满足总量控制要求</w:t>
            </w:r>
            <w:r>
              <w:rPr>
                <w:rFonts w:hint="eastAsia" w:ascii="Times New Roman" w:hAnsi="Times New Roman" w:eastAsia="宋体" w:cs="Times New Roman"/>
                <w:color w:val="000000"/>
                <w:sz w:val="24"/>
                <w:szCs w:val="24"/>
                <w:vertAlign w:val="baseline"/>
                <w:lang w:val="en-US" w:eastAsia="zh-CN"/>
              </w:rPr>
              <w:t>。</w:t>
            </w:r>
            <w:r>
              <w:rPr>
                <w:rFonts w:hint="eastAsia" w:ascii="Times New Roman" w:hAnsi="Times New Roman" w:eastAsia="仿宋_GB2312" w:cs="Times New Roman"/>
                <w:color w:val="000000"/>
                <w:sz w:val="21"/>
                <w:szCs w:val="21"/>
                <w:lang w:val="en-US" w:eastAsia="zh-CN"/>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814"/>
        <w:gridCol w:w="358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8" w:type="dxa"/>
            <w:gridSpan w:val="4"/>
            <w:noWrap w:val="0"/>
            <w:vAlign w:val="center"/>
          </w:tcPr>
          <w:p>
            <w:pPr>
              <w:pStyle w:val="3"/>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安徽华仁路桥工程有限公司年产4万t沥青混凝土拌和站技改项目验收现场及监测报告专家评审意见整改情况表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序号</w:t>
            </w:r>
          </w:p>
        </w:tc>
        <w:tc>
          <w:tcPr>
            <w:tcW w:w="3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专家意见</w:t>
            </w:r>
          </w:p>
        </w:tc>
        <w:tc>
          <w:tcPr>
            <w:tcW w:w="3580"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落实情况</w:t>
            </w:r>
          </w:p>
        </w:tc>
        <w:tc>
          <w:tcPr>
            <w:tcW w:w="895"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3814"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明确验收范围，细化现有工程存在的主要环境问题整改措施落实情况及成效；核实现有排污许可证是否涵盖技改项目内容。</w:t>
            </w:r>
          </w:p>
        </w:tc>
        <w:tc>
          <w:tcPr>
            <w:tcW w:w="3580"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已明确验收范围、现有工程存在的主要环境问题整改措施落实情况及成效</w:t>
            </w:r>
            <w:r>
              <w:rPr>
                <w:rFonts w:hint="eastAsia" w:ascii="Times New Roman" w:hAnsi="Times New Roman" w:eastAsia="宋体" w:cs="Times New Roman"/>
                <w:b w:val="0"/>
                <w:bCs w:val="0"/>
                <w:color w:val="auto"/>
                <w:kern w:val="2"/>
                <w:sz w:val="21"/>
                <w:szCs w:val="21"/>
                <w:lang w:val="en-US" w:eastAsia="zh-CN" w:bidi="ar-SA"/>
              </w:rPr>
              <w:t>已补充</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排污许可已延续</w:t>
            </w:r>
            <w:r>
              <w:rPr>
                <w:rFonts w:hint="default" w:ascii="Times New Roman" w:hAnsi="Times New Roman" w:eastAsia="宋体" w:cs="Times New Roman"/>
                <w:b w:val="0"/>
                <w:bCs w:val="0"/>
                <w:color w:val="auto"/>
                <w:kern w:val="2"/>
                <w:sz w:val="21"/>
                <w:szCs w:val="21"/>
                <w:lang w:val="en-US" w:eastAsia="zh-CN" w:bidi="ar-SA"/>
              </w:rPr>
              <w:t>。</w:t>
            </w:r>
          </w:p>
        </w:tc>
        <w:tc>
          <w:tcPr>
            <w:tcW w:w="895"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w:t>
            </w:r>
          </w:p>
        </w:tc>
        <w:tc>
          <w:tcPr>
            <w:tcW w:w="38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核实导热油炉以天然气为热源采用低氮燃烧方式减排氮氧化物效果，排气筒设置及编号应与排污许可证一致，核实污染物排放总量符合情况；核实区域污水处理厂建设进展、本项目是否具备纳管条件和厂区现有生活污水处理方式、去向，如果区域污水处理厂已建成运行需附污水纳管证明材料；核实现有危废暂存场所建设合规情况，适时清运危险废物并建立去向台账。</w:t>
            </w:r>
          </w:p>
        </w:tc>
        <w:tc>
          <w:tcPr>
            <w:tcW w:w="3580" w:type="dxa"/>
            <w:noWrap w:val="0"/>
            <w:vAlign w:val="center"/>
          </w:tcPr>
          <w:p>
            <w:pPr>
              <w:pStyle w:val="4"/>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低氮燃烧</w:t>
            </w:r>
            <w:r>
              <w:rPr>
                <w:rFonts w:hint="eastAsia" w:ascii="Times New Roman" w:hAnsi="Times New Roman" w:cs="Times New Roman"/>
                <w:b w:val="0"/>
                <w:bCs w:val="0"/>
                <w:sz w:val="21"/>
                <w:szCs w:val="21"/>
                <w:vertAlign w:val="baseline"/>
                <w:lang w:val="en-US" w:eastAsia="zh-CN"/>
              </w:rPr>
              <w:t>器相关资料已补充，见附件，</w:t>
            </w:r>
            <w:r>
              <w:rPr>
                <w:rFonts w:hint="eastAsia" w:cs="Times New Roman"/>
                <w:b w:val="0"/>
                <w:bCs w:val="0"/>
                <w:sz w:val="21"/>
                <w:szCs w:val="21"/>
                <w:vertAlign w:val="baseline"/>
                <w:lang w:val="en-US" w:eastAsia="zh-CN"/>
              </w:rPr>
              <w:t>生活</w:t>
            </w:r>
            <w:r>
              <w:rPr>
                <w:rFonts w:hint="eastAsia" w:ascii="Times New Roman" w:hAnsi="Times New Roman" w:cs="Times New Roman"/>
                <w:b w:val="0"/>
                <w:bCs w:val="0"/>
                <w:sz w:val="21"/>
                <w:szCs w:val="21"/>
                <w:vertAlign w:val="baseline"/>
                <w:lang w:val="en-US" w:eastAsia="zh-CN"/>
              </w:rPr>
              <w:t>污水已纳管，</w:t>
            </w:r>
            <w:r>
              <w:rPr>
                <w:rFonts w:hint="default" w:ascii="Times New Roman" w:hAnsi="Times New Roman" w:eastAsia="宋体" w:cs="Times New Roman"/>
                <w:b w:val="0"/>
                <w:bCs w:val="0"/>
                <w:sz w:val="21"/>
                <w:szCs w:val="21"/>
                <w:vertAlign w:val="baseline"/>
                <w:lang w:val="en-US" w:eastAsia="zh-CN"/>
              </w:rPr>
              <w:t>现有危废暂存场所</w:t>
            </w:r>
            <w:r>
              <w:rPr>
                <w:rFonts w:hint="eastAsia" w:ascii="Times New Roman" w:hAnsi="Times New Roman" w:cs="Times New Roman"/>
                <w:b w:val="0"/>
                <w:bCs w:val="0"/>
                <w:sz w:val="21"/>
                <w:szCs w:val="21"/>
                <w:vertAlign w:val="baseline"/>
                <w:lang w:val="en-US" w:eastAsia="zh-CN"/>
              </w:rPr>
              <w:t>已按要求</w:t>
            </w:r>
            <w:r>
              <w:rPr>
                <w:rFonts w:hint="default" w:ascii="Times New Roman" w:hAnsi="Times New Roman" w:eastAsia="宋体" w:cs="Times New Roman"/>
                <w:b w:val="0"/>
                <w:bCs w:val="0"/>
                <w:sz w:val="21"/>
                <w:szCs w:val="21"/>
                <w:vertAlign w:val="baseline"/>
                <w:lang w:val="en-US" w:eastAsia="zh-CN"/>
              </w:rPr>
              <w:t>建设</w:t>
            </w:r>
            <w:r>
              <w:rPr>
                <w:rFonts w:hint="eastAsia" w:cs="Times New Roman"/>
                <w:b w:val="0"/>
                <w:bCs w:val="0"/>
                <w:sz w:val="21"/>
                <w:szCs w:val="21"/>
                <w:vertAlign w:val="baseline"/>
                <w:lang w:val="en-US" w:eastAsia="zh-CN"/>
              </w:rPr>
              <w:t>，危废协议见附件</w:t>
            </w:r>
            <w:r>
              <w:rPr>
                <w:rFonts w:hint="eastAsia" w:ascii="Times New Roman" w:hAnsi="Times New Roman" w:cs="Times New Roman"/>
                <w:b w:val="0"/>
                <w:bCs w:val="0"/>
                <w:sz w:val="21"/>
                <w:szCs w:val="21"/>
                <w:vertAlign w:val="baseline"/>
                <w:lang w:val="en-US" w:eastAsia="zh-CN"/>
              </w:rPr>
              <w:t>。</w:t>
            </w:r>
          </w:p>
        </w:tc>
        <w:tc>
          <w:tcPr>
            <w:tcW w:w="895"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3</w:t>
            </w:r>
          </w:p>
        </w:tc>
        <w:tc>
          <w:tcPr>
            <w:tcW w:w="3814"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补充现存环境问题整改项成效检测报告；强化厂区现场环境管理，对车间内外地面、雨污管网定期进行环境清理，持续改善环境；完善相关场所环保标识和总平面布置图；完善项目竣工环保验收登记表；完善现场监测图片；规范图表，勘误文字。</w:t>
            </w:r>
          </w:p>
        </w:tc>
        <w:tc>
          <w:tcPr>
            <w:tcW w:w="3580" w:type="dxa"/>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现存环境问题整改项成效检测报告</w:t>
            </w:r>
            <w:r>
              <w:rPr>
                <w:rFonts w:hint="eastAsia" w:ascii="Times New Roman" w:hAnsi="Times New Roman" w:cs="Times New Roman"/>
                <w:b w:val="0"/>
                <w:bCs w:val="0"/>
                <w:sz w:val="21"/>
                <w:szCs w:val="21"/>
                <w:vertAlign w:val="baseline"/>
                <w:lang w:val="en-US" w:eastAsia="zh-CN"/>
              </w:rPr>
              <w:t>已补充，见附件，</w:t>
            </w:r>
            <w:r>
              <w:rPr>
                <w:rFonts w:hint="default" w:ascii="Times New Roman" w:hAnsi="Times New Roman" w:eastAsia="宋体" w:cs="Times New Roman"/>
                <w:b w:val="0"/>
                <w:bCs w:val="0"/>
                <w:sz w:val="21"/>
                <w:szCs w:val="21"/>
                <w:vertAlign w:val="baseline"/>
                <w:lang w:val="en-US" w:eastAsia="zh-CN"/>
              </w:rPr>
              <w:t>相关标识</w:t>
            </w:r>
            <w:r>
              <w:rPr>
                <w:rFonts w:hint="eastAsia" w:ascii="Times New Roman" w:hAnsi="Times New Roman" w:cs="Times New Roman"/>
                <w:b w:val="0"/>
                <w:bCs w:val="0"/>
                <w:sz w:val="21"/>
                <w:szCs w:val="21"/>
                <w:vertAlign w:val="baseline"/>
                <w:lang w:val="en-US" w:eastAsia="zh-CN"/>
              </w:rPr>
              <w:t>标牌已完善。</w:t>
            </w:r>
          </w:p>
        </w:tc>
        <w:tc>
          <w:tcPr>
            <w:tcW w:w="895" w:type="dxa"/>
            <w:noWrap w:val="0"/>
            <w:vAlign w:val="center"/>
          </w:tcPr>
          <w:p>
            <w:pPr>
              <w:pStyle w:val="2"/>
              <w:keepNext w:val="0"/>
              <w:keepLines w:val="0"/>
              <w:pageBreakBefore w:val="0"/>
              <w:widowControl w:val="0"/>
              <w:kinsoku/>
              <w:wordWrap/>
              <w:overflowPunct/>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p>
        </w:tc>
      </w:tr>
    </w:tbl>
    <w:p>
      <w:pPr>
        <w:pStyle w:val="2"/>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pStyle w:val="3"/>
        <w:rPr>
          <w:rFonts w:hint="default"/>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年产4万t沥青混凝土拌和站技改项目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宁国经济技术开发区</w:t>
            </w:r>
            <w:r>
              <w:rPr>
                <w:rFonts w:hint="eastAsia" w:ascii="Times New Roman" w:hAnsi="Times New Roman" w:cs="Times New Roman"/>
                <w:color w:val="000000"/>
                <w:kern w:val="0"/>
                <w:sz w:val="18"/>
                <w:szCs w:val="18"/>
                <w:lang w:eastAsia="zh-CN"/>
              </w:rPr>
              <w:t>宜黄路</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C3029 其他水泥类似制品制造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改建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年产4万t沥青混凝土</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年产4万t沥青混凝土</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安徽师范大学</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审批[2023]13</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2023.3</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2023.4</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2020.05.28</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安徽华仁路桥工程有限公司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安徽华仁路桥工程有限公司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91341881675859550P001W</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10</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16.7</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60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10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16.7</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3</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4</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0.0456t/a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0.0216t/a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0.1056t/a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11E3099C"/>
    <w:rsid w:val="003F4A29"/>
    <w:rsid w:val="014F5A3E"/>
    <w:rsid w:val="016B574D"/>
    <w:rsid w:val="01C40E02"/>
    <w:rsid w:val="01D61EE2"/>
    <w:rsid w:val="01E655BB"/>
    <w:rsid w:val="022E6257"/>
    <w:rsid w:val="02344ABF"/>
    <w:rsid w:val="02A47DC0"/>
    <w:rsid w:val="04E60D23"/>
    <w:rsid w:val="054C5B3F"/>
    <w:rsid w:val="05880459"/>
    <w:rsid w:val="05D31F43"/>
    <w:rsid w:val="06603E17"/>
    <w:rsid w:val="0666397F"/>
    <w:rsid w:val="069B2A76"/>
    <w:rsid w:val="069B5E85"/>
    <w:rsid w:val="08872A6F"/>
    <w:rsid w:val="08C95AC7"/>
    <w:rsid w:val="08EA4DFE"/>
    <w:rsid w:val="09185DF8"/>
    <w:rsid w:val="09282E44"/>
    <w:rsid w:val="094D02E9"/>
    <w:rsid w:val="09B0435A"/>
    <w:rsid w:val="09E238CF"/>
    <w:rsid w:val="0B59550C"/>
    <w:rsid w:val="0BA8417F"/>
    <w:rsid w:val="0C590D9F"/>
    <w:rsid w:val="0CC04E4F"/>
    <w:rsid w:val="0CC65D86"/>
    <w:rsid w:val="0D557D45"/>
    <w:rsid w:val="0D902734"/>
    <w:rsid w:val="0DA03B76"/>
    <w:rsid w:val="0DB86146"/>
    <w:rsid w:val="0E415563"/>
    <w:rsid w:val="0E416B70"/>
    <w:rsid w:val="0E8D7100"/>
    <w:rsid w:val="0EC96B65"/>
    <w:rsid w:val="0F132E0A"/>
    <w:rsid w:val="0F9E3EA7"/>
    <w:rsid w:val="10825804"/>
    <w:rsid w:val="1090632E"/>
    <w:rsid w:val="10DB57FB"/>
    <w:rsid w:val="11A9737A"/>
    <w:rsid w:val="11C539D3"/>
    <w:rsid w:val="11CF479B"/>
    <w:rsid w:val="11E3099C"/>
    <w:rsid w:val="11F552B3"/>
    <w:rsid w:val="121E094C"/>
    <w:rsid w:val="12475783"/>
    <w:rsid w:val="130318C3"/>
    <w:rsid w:val="13E14EB4"/>
    <w:rsid w:val="13EB21F9"/>
    <w:rsid w:val="14042D52"/>
    <w:rsid w:val="14A35063"/>
    <w:rsid w:val="159C4FF4"/>
    <w:rsid w:val="160927B3"/>
    <w:rsid w:val="16343DB8"/>
    <w:rsid w:val="16672939"/>
    <w:rsid w:val="18855DF8"/>
    <w:rsid w:val="18C7197B"/>
    <w:rsid w:val="1AD27C6F"/>
    <w:rsid w:val="1AF513F4"/>
    <w:rsid w:val="1B716AD1"/>
    <w:rsid w:val="1BC97840"/>
    <w:rsid w:val="1BCA3B90"/>
    <w:rsid w:val="1BD92E92"/>
    <w:rsid w:val="1BE97B91"/>
    <w:rsid w:val="1BF157B5"/>
    <w:rsid w:val="1C3217C2"/>
    <w:rsid w:val="1C454150"/>
    <w:rsid w:val="1C4A2CFA"/>
    <w:rsid w:val="1C4A7CD9"/>
    <w:rsid w:val="1C835330"/>
    <w:rsid w:val="1CEB14BC"/>
    <w:rsid w:val="1E1C7453"/>
    <w:rsid w:val="1E365FE8"/>
    <w:rsid w:val="1E9304F0"/>
    <w:rsid w:val="1E93077E"/>
    <w:rsid w:val="1F0411B1"/>
    <w:rsid w:val="1F2137DB"/>
    <w:rsid w:val="1F3E1A2D"/>
    <w:rsid w:val="1F685ED8"/>
    <w:rsid w:val="210A7E5B"/>
    <w:rsid w:val="2122022A"/>
    <w:rsid w:val="2138405D"/>
    <w:rsid w:val="2193671F"/>
    <w:rsid w:val="21FB71F9"/>
    <w:rsid w:val="226C7787"/>
    <w:rsid w:val="22726F55"/>
    <w:rsid w:val="22765464"/>
    <w:rsid w:val="228C07D3"/>
    <w:rsid w:val="23CA32B4"/>
    <w:rsid w:val="249A2142"/>
    <w:rsid w:val="24D52D86"/>
    <w:rsid w:val="251D41DD"/>
    <w:rsid w:val="252B6F44"/>
    <w:rsid w:val="25C97EC1"/>
    <w:rsid w:val="27271343"/>
    <w:rsid w:val="2920429C"/>
    <w:rsid w:val="29A32D53"/>
    <w:rsid w:val="29E12E49"/>
    <w:rsid w:val="29FA2D3E"/>
    <w:rsid w:val="2A0E01F9"/>
    <w:rsid w:val="2A181E2C"/>
    <w:rsid w:val="2A2D2CA6"/>
    <w:rsid w:val="2A7A79DB"/>
    <w:rsid w:val="2AA607D0"/>
    <w:rsid w:val="2AF43C32"/>
    <w:rsid w:val="2B1C0D0A"/>
    <w:rsid w:val="2C3D0CC9"/>
    <w:rsid w:val="2C894B1B"/>
    <w:rsid w:val="2CD42995"/>
    <w:rsid w:val="2E8F3DE9"/>
    <w:rsid w:val="2EFC4E63"/>
    <w:rsid w:val="2F871FFF"/>
    <w:rsid w:val="2FA14FDC"/>
    <w:rsid w:val="30AA4DD4"/>
    <w:rsid w:val="30E221EB"/>
    <w:rsid w:val="31157D31"/>
    <w:rsid w:val="311B2283"/>
    <w:rsid w:val="31203028"/>
    <w:rsid w:val="322C1C7D"/>
    <w:rsid w:val="328525BE"/>
    <w:rsid w:val="334E041E"/>
    <w:rsid w:val="335E4A02"/>
    <w:rsid w:val="3427629B"/>
    <w:rsid w:val="34D06B15"/>
    <w:rsid w:val="34E83FAE"/>
    <w:rsid w:val="35B531F5"/>
    <w:rsid w:val="36F4781C"/>
    <w:rsid w:val="38002AE5"/>
    <w:rsid w:val="385F2C42"/>
    <w:rsid w:val="38BB3F25"/>
    <w:rsid w:val="3AC63082"/>
    <w:rsid w:val="3B531D3E"/>
    <w:rsid w:val="3BE96E33"/>
    <w:rsid w:val="3C3560F7"/>
    <w:rsid w:val="3C4C57C1"/>
    <w:rsid w:val="3DE540C9"/>
    <w:rsid w:val="3E0C1200"/>
    <w:rsid w:val="3E733F03"/>
    <w:rsid w:val="3F650802"/>
    <w:rsid w:val="3F6856F2"/>
    <w:rsid w:val="3FC528DF"/>
    <w:rsid w:val="3FFD329E"/>
    <w:rsid w:val="400A1E7F"/>
    <w:rsid w:val="403B3CB1"/>
    <w:rsid w:val="404443F5"/>
    <w:rsid w:val="411D58E5"/>
    <w:rsid w:val="41D64FD5"/>
    <w:rsid w:val="420460B1"/>
    <w:rsid w:val="43896B9F"/>
    <w:rsid w:val="43B57B2B"/>
    <w:rsid w:val="43E74188"/>
    <w:rsid w:val="444162D1"/>
    <w:rsid w:val="4447497A"/>
    <w:rsid w:val="44B90502"/>
    <w:rsid w:val="451B69DA"/>
    <w:rsid w:val="453F29D6"/>
    <w:rsid w:val="454C1134"/>
    <w:rsid w:val="45D62556"/>
    <w:rsid w:val="45F6020C"/>
    <w:rsid w:val="463F7FFF"/>
    <w:rsid w:val="46477F5C"/>
    <w:rsid w:val="46F75AF5"/>
    <w:rsid w:val="470C161A"/>
    <w:rsid w:val="473F3239"/>
    <w:rsid w:val="4776463B"/>
    <w:rsid w:val="478B3F94"/>
    <w:rsid w:val="47CE4F5A"/>
    <w:rsid w:val="48223592"/>
    <w:rsid w:val="48503124"/>
    <w:rsid w:val="486836BC"/>
    <w:rsid w:val="487570F2"/>
    <w:rsid w:val="48767174"/>
    <w:rsid w:val="48DB3711"/>
    <w:rsid w:val="49E36DCB"/>
    <w:rsid w:val="4A304379"/>
    <w:rsid w:val="4A46477D"/>
    <w:rsid w:val="4AB82869"/>
    <w:rsid w:val="4B8230CF"/>
    <w:rsid w:val="4BAC372A"/>
    <w:rsid w:val="4BBF4AA7"/>
    <w:rsid w:val="4C3919F3"/>
    <w:rsid w:val="4CBF5C1D"/>
    <w:rsid w:val="4CDA2300"/>
    <w:rsid w:val="4CEF795D"/>
    <w:rsid w:val="4D510F81"/>
    <w:rsid w:val="4D9C0AC9"/>
    <w:rsid w:val="4DB85CAD"/>
    <w:rsid w:val="4E1116BB"/>
    <w:rsid w:val="4EB63D79"/>
    <w:rsid w:val="4F544F91"/>
    <w:rsid w:val="4F641CE0"/>
    <w:rsid w:val="4F6B6B79"/>
    <w:rsid w:val="4FE377A5"/>
    <w:rsid w:val="50E81293"/>
    <w:rsid w:val="51B42592"/>
    <w:rsid w:val="5297543E"/>
    <w:rsid w:val="52A373D7"/>
    <w:rsid w:val="53043F39"/>
    <w:rsid w:val="532768AB"/>
    <w:rsid w:val="5353313C"/>
    <w:rsid w:val="538D2F5D"/>
    <w:rsid w:val="5478527C"/>
    <w:rsid w:val="55017D13"/>
    <w:rsid w:val="56102E1E"/>
    <w:rsid w:val="56D31838"/>
    <w:rsid w:val="56FF1590"/>
    <w:rsid w:val="575817DD"/>
    <w:rsid w:val="578F19D1"/>
    <w:rsid w:val="586A2BF3"/>
    <w:rsid w:val="59780A1D"/>
    <w:rsid w:val="59CA479D"/>
    <w:rsid w:val="5A2E5F69"/>
    <w:rsid w:val="5AC83331"/>
    <w:rsid w:val="5B572A27"/>
    <w:rsid w:val="5BFA49FC"/>
    <w:rsid w:val="5C125734"/>
    <w:rsid w:val="5C547306"/>
    <w:rsid w:val="5CB16EEB"/>
    <w:rsid w:val="5CE15727"/>
    <w:rsid w:val="5D727AA1"/>
    <w:rsid w:val="5FB243AF"/>
    <w:rsid w:val="607D0DE1"/>
    <w:rsid w:val="61AA7629"/>
    <w:rsid w:val="624F2F20"/>
    <w:rsid w:val="62572E40"/>
    <w:rsid w:val="62A6672F"/>
    <w:rsid w:val="62A80882"/>
    <w:rsid w:val="63E17A54"/>
    <w:rsid w:val="649B069F"/>
    <w:rsid w:val="64B8292A"/>
    <w:rsid w:val="64D34A8B"/>
    <w:rsid w:val="6501540D"/>
    <w:rsid w:val="650859CD"/>
    <w:rsid w:val="652557D2"/>
    <w:rsid w:val="654B3E73"/>
    <w:rsid w:val="656A7099"/>
    <w:rsid w:val="65BB0585"/>
    <w:rsid w:val="65C46CD4"/>
    <w:rsid w:val="668659BA"/>
    <w:rsid w:val="6704453E"/>
    <w:rsid w:val="671D5CC4"/>
    <w:rsid w:val="67B328F2"/>
    <w:rsid w:val="68356BA2"/>
    <w:rsid w:val="684D3B04"/>
    <w:rsid w:val="696C3EA5"/>
    <w:rsid w:val="6A32554A"/>
    <w:rsid w:val="6AA31959"/>
    <w:rsid w:val="6AAA4812"/>
    <w:rsid w:val="6AB147DA"/>
    <w:rsid w:val="6AB26742"/>
    <w:rsid w:val="6AFE2335"/>
    <w:rsid w:val="6B036B0A"/>
    <w:rsid w:val="6B0D0BA7"/>
    <w:rsid w:val="6B1B7628"/>
    <w:rsid w:val="6B2910E1"/>
    <w:rsid w:val="6B4078AA"/>
    <w:rsid w:val="6B65663B"/>
    <w:rsid w:val="6B9F1EF8"/>
    <w:rsid w:val="6BD14696"/>
    <w:rsid w:val="6C6A1294"/>
    <w:rsid w:val="6CB1569B"/>
    <w:rsid w:val="6CE53865"/>
    <w:rsid w:val="6D516228"/>
    <w:rsid w:val="6D76531D"/>
    <w:rsid w:val="6D9A40CE"/>
    <w:rsid w:val="6E106087"/>
    <w:rsid w:val="6F3D26D3"/>
    <w:rsid w:val="6FA11CA4"/>
    <w:rsid w:val="710D7610"/>
    <w:rsid w:val="714C3AC4"/>
    <w:rsid w:val="72004F7C"/>
    <w:rsid w:val="72367C35"/>
    <w:rsid w:val="72B71456"/>
    <w:rsid w:val="735B1D7D"/>
    <w:rsid w:val="73974727"/>
    <w:rsid w:val="73B23958"/>
    <w:rsid w:val="744C311D"/>
    <w:rsid w:val="75416299"/>
    <w:rsid w:val="75BB687B"/>
    <w:rsid w:val="75D200AA"/>
    <w:rsid w:val="7652040B"/>
    <w:rsid w:val="766E7A7C"/>
    <w:rsid w:val="769E73E4"/>
    <w:rsid w:val="76AB293C"/>
    <w:rsid w:val="76CC13DE"/>
    <w:rsid w:val="76E11454"/>
    <w:rsid w:val="76F669BA"/>
    <w:rsid w:val="76FE7B37"/>
    <w:rsid w:val="78B816F6"/>
    <w:rsid w:val="793F53A1"/>
    <w:rsid w:val="795E413F"/>
    <w:rsid w:val="79A61220"/>
    <w:rsid w:val="79FA2DDC"/>
    <w:rsid w:val="7A145149"/>
    <w:rsid w:val="7A6758F5"/>
    <w:rsid w:val="7B18439F"/>
    <w:rsid w:val="7B4E7DC1"/>
    <w:rsid w:val="7C340AC9"/>
    <w:rsid w:val="7C615E04"/>
    <w:rsid w:val="7C9E4285"/>
    <w:rsid w:val="7CBD7899"/>
    <w:rsid w:val="7CC95F46"/>
    <w:rsid w:val="7D215834"/>
    <w:rsid w:val="7D3F3510"/>
    <w:rsid w:val="7D6C4019"/>
    <w:rsid w:val="7DA63EE4"/>
    <w:rsid w:val="7E024A8C"/>
    <w:rsid w:val="7E0C2090"/>
    <w:rsid w:val="7EFF5267"/>
    <w:rsid w:val="7F407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200" w:firstLineChars="200"/>
    </w:pPr>
    <w:rPr>
      <w:rFonts w:eastAsia="宋体"/>
      <w:kern w:val="2"/>
      <w:sz w:val="28"/>
      <w:szCs w:val="24"/>
      <w:lang w:val="en-US" w:eastAsia="zh-CN" w:bidi="ar-SA"/>
    </w:rPr>
  </w:style>
  <w:style w:type="paragraph" w:styleId="7">
    <w:name w:val="annotation text"/>
    <w:basedOn w:val="1"/>
    <w:semiHidden/>
    <w:qFormat/>
    <w:uiPriority w:val="0"/>
    <w:pPr>
      <w:jc w:val="left"/>
    </w:pPr>
    <w:rPr>
      <w:kern w:val="0"/>
      <w:sz w:val="24"/>
      <w:szCs w:val="20"/>
    </w:rPr>
  </w:style>
  <w:style w:type="paragraph" w:styleId="8">
    <w:name w:val="Salutation"/>
    <w:basedOn w:val="1"/>
    <w:next w:val="1"/>
    <w:unhideWhenUsed/>
    <w:qFormat/>
    <w:uiPriority w:val="99"/>
  </w:style>
  <w:style w:type="paragraph" w:styleId="9">
    <w:name w:val="Body Text Indent"/>
    <w:basedOn w:val="1"/>
    <w:next w:val="10"/>
    <w:qFormat/>
    <w:uiPriority w:val="0"/>
    <w:pPr>
      <w:spacing w:after="120"/>
      <w:ind w:left="420" w:leftChars="200"/>
    </w:pPr>
    <w:rPr>
      <w:kern w:val="0"/>
      <w:sz w:val="24"/>
      <w:szCs w:val="20"/>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spacing w:after="120"/>
      <w:ind w:left="420" w:firstLine="210"/>
    </w:pPr>
    <w:rPr>
      <w:rFonts w:eastAsia="楷体_GB2312"/>
      <w:sz w:val="30"/>
    </w:rPr>
  </w:style>
  <w:style w:type="paragraph" w:styleId="12">
    <w:name w:val="footer"/>
    <w:basedOn w:val="1"/>
    <w:qFormat/>
    <w:uiPriority w:val="0"/>
    <w:pPr>
      <w:tabs>
        <w:tab w:val="center" w:pos="4153"/>
        <w:tab w:val="right" w:pos="8306"/>
      </w:tabs>
    </w:pPr>
    <w:rPr>
      <w:rFonts w:eastAsia="宋体"/>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annotation reference"/>
    <w:basedOn w:val="16"/>
    <w:semiHidden/>
    <w:qFormat/>
    <w:uiPriority w:val="0"/>
    <w:rPr>
      <w:sz w:val="21"/>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
    <w:name w:val="表格标题 Char"/>
    <w:basedOn w:val="16"/>
    <w:qFormat/>
    <w:uiPriority w:val="0"/>
    <w:rPr>
      <w:rFonts w:ascii="Times New Roman" w:hAnsi="Times New Roman" w:eastAsia="宋体" w:cs="宋体"/>
      <w:kern w:val="2"/>
      <w:sz w:val="24"/>
      <w:lang w:bidi="ar-SA"/>
    </w:rPr>
  </w:style>
  <w:style w:type="paragraph" w:customStyle="1" w:styleId="21">
    <w:name w:val="Char"/>
    <w:basedOn w:val="1"/>
    <w:qFormat/>
    <w:uiPriority w:val="0"/>
    <w:pPr>
      <w:snapToGrid w:val="0"/>
      <w:spacing w:line="360" w:lineRule="auto"/>
      <w:ind w:firstLine="529" w:firstLineChars="200"/>
    </w:pPr>
    <w:rPr>
      <w:rFonts w:ascii="宋体" w:hAnsi="宋体"/>
      <w:b/>
      <w:szCs w:val="24"/>
    </w:rPr>
  </w:style>
  <w:style w:type="paragraph" w:customStyle="1" w:styleId="22">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3">
    <w:name w:val="表格文字"/>
    <w:basedOn w:val="2"/>
    <w:qFormat/>
    <w:uiPriority w:val="0"/>
    <w:pPr>
      <w:spacing w:after="0" w:line="240" w:lineRule="auto"/>
      <w:ind w:firstLine="0" w:firstLineChars="0"/>
      <w:jc w:val="center"/>
    </w:pPr>
    <w:rPr>
      <w:rFonts w:ascii="宋体" w:hAnsi="宋体" w:eastAsia="宋体"/>
      <w:sz w:val="21"/>
      <w:szCs w:val="20"/>
    </w:rPr>
  </w:style>
  <w:style w:type="paragraph" w:customStyle="1" w:styleId="24">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5">
    <w:name w:val="font11"/>
    <w:basedOn w:val="16"/>
    <w:qFormat/>
    <w:uiPriority w:val="0"/>
    <w:rPr>
      <w:rFonts w:hint="eastAsia" w:ascii="宋体" w:hAnsi="宋体" w:eastAsia="宋体" w:cs="宋体"/>
      <w:color w:val="000000"/>
      <w:sz w:val="20"/>
      <w:szCs w:val="20"/>
      <w:u w:val="none"/>
      <w:vertAlign w:val="superscript"/>
    </w:rPr>
  </w:style>
  <w:style w:type="character" w:customStyle="1" w:styleId="26">
    <w:name w:val="font21"/>
    <w:basedOn w:val="16"/>
    <w:qFormat/>
    <w:uiPriority w:val="0"/>
    <w:rPr>
      <w:rFonts w:hint="eastAsia" w:ascii="宋体" w:hAnsi="宋体" w:eastAsia="宋体" w:cs="宋体"/>
      <w:color w:val="000000"/>
      <w:sz w:val="20"/>
      <w:szCs w:val="20"/>
      <w:u w:val="none"/>
    </w:rPr>
  </w:style>
  <w:style w:type="paragraph" w:customStyle="1" w:styleId="27">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8">
    <w:name w:val="样式35"/>
    <w:basedOn w:val="1"/>
    <w:qFormat/>
    <w:uiPriority w:val="0"/>
    <w:pPr>
      <w:adjustRightInd w:val="0"/>
      <w:spacing w:line="312" w:lineRule="auto"/>
      <w:ind w:firstLine="567"/>
    </w:pPr>
    <w:rPr>
      <w:rFonts w:ascii="宋体"/>
      <w:kern w:val="0"/>
      <w:sz w:val="28"/>
      <w:szCs w:val="20"/>
    </w:rPr>
  </w:style>
  <w:style w:type="paragraph" w:customStyle="1" w:styleId="29">
    <w:name w:val="p0"/>
    <w:basedOn w:val="1"/>
    <w:qFormat/>
    <w:uiPriority w:val="0"/>
    <w:pPr>
      <w:widowControl/>
    </w:pPr>
    <w:rPr>
      <w:kern w:val="0"/>
      <w:szCs w:val="21"/>
    </w:rPr>
  </w:style>
  <w:style w:type="paragraph" w:customStyle="1" w:styleId="30">
    <w:name w:val="A标准格式"/>
    <w:basedOn w:val="1"/>
    <w:qFormat/>
    <w:uiPriority w:val="0"/>
    <w:pPr>
      <w:ind w:firstLine="480"/>
    </w:pPr>
  </w:style>
  <w:style w:type="paragraph" w:customStyle="1" w:styleId="31">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2">
    <w:name w:val="图表"/>
    <w:basedOn w:val="1"/>
    <w:qFormat/>
    <w:uiPriority w:val="0"/>
    <w:pPr>
      <w:adjustRightInd w:val="0"/>
      <w:snapToGrid w:val="0"/>
      <w:jc w:val="center"/>
    </w:pPr>
    <w:rPr>
      <w:color w:val="000000"/>
      <w:szCs w:val="22"/>
      <w:lang w:val="zh-CN"/>
    </w:rPr>
  </w:style>
  <w:style w:type="paragraph" w:customStyle="1" w:styleId="33">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4">
    <w:name w:val="表格1"/>
    <w:basedOn w:val="6"/>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5">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6">
    <w:name w:val="表格 32"/>
    <w:basedOn w:val="1"/>
    <w:qFormat/>
    <w:uiPriority w:val="0"/>
    <w:pPr>
      <w:autoSpaceDE w:val="0"/>
      <w:autoSpaceDN w:val="0"/>
      <w:adjustRightInd w:val="0"/>
      <w:jc w:val="center"/>
      <w:textAlignment w:val="baseline"/>
    </w:pPr>
    <w:rPr>
      <w:rFonts w:ascii="宋体" w:hAnsi="Impact"/>
      <w:kern w:val="24"/>
      <w:sz w:val="24"/>
      <w:szCs w:val="20"/>
    </w:rPr>
  </w:style>
  <w:style w:type="paragraph" w:customStyle="1" w:styleId="37">
    <w:name w:val="Char Char Char Char Char Char"/>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13914</Words>
  <Characters>16308</Characters>
  <Lines>0</Lines>
  <Paragraphs>0</Paragraphs>
  <TotalTime>1</TotalTime>
  <ScaleCrop>false</ScaleCrop>
  <LinksUpToDate>false</LinksUpToDate>
  <CharactersWithSpaces>16527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2023-06-12T01:50:32Z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FDD3C6C1278E47AD8C7876305394AC4F</vt:lpwstr>
  </property>
</Properties>
</file>