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年产1亿米坯布项目</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宁国市福华纺织有限公司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五</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盛丽</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1662"/>
        <w:gridCol w:w="2013"/>
        <w:gridCol w:w="878"/>
        <w:gridCol w:w="844"/>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年产1亿米坯布项目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宁国市福华纺织有限公司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新</w:t>
            </w:r>
            <w:r>
              <w:rPr>
                <w:rFonts w:hint="default" w:ascii="Times New Roman" w:hAnsi="Times New Roman" w:eastAsia="宋体" w:cs="Times New Roman"/>
                <w:color w:val="000000"/>
                <w:sz w:val="24"/>
                <w:szCs w:val="24"/>
                <w:lang w:val="en-US" w:eastAsia="zh-CN"/>
              </w:rPr>
              <w:t>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sz w:val="24"/>
                <w:szCs w:val="24"/>
                <w:lang w:val="en-US" w:eastAsia="zh-CN"/>
              </w:rPr>
            </w:pPr>
            <w:r>
              <w:rPr>
                <w:rFonts w:ascii="宋体" w:hAnsi="宋体" w:cs="宋体"/>
                <w:sz w:val="24"/>
                <w:szCs w:val="24"/>
              </w:rPr>
              <w:t>安徽省宣城市</w:t>
            </w:r>
            <w:r>
              <w:rPr>
                <w:rFonts w:hint="eastAsia" w:ascii="宋体" w:hAnsi="宋体" w:cs="宋体"/>
                <w:sz w:val="24"/>
                <w:szCs w:val="24"/>
                <w:lang w:eastAsia="zh-CN"/>
              </w:rPr>
              <w:t>宁国市汪溪办事处殷白村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auto"/>
                <w:sz w:val="24"/>
                <w:lang w:eastAsia="zh-CN"/>
              </w:rPr>
              <w:t>坯布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auto"/>
                <w:sz w:val="24"/>
                <w:lang w:eastAsia="zh-CN"/>
              </w:rPr>
              <w:t>年产1亿米坯布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auto"/>
                <w:sz w:val="24"/>
                <w:lang w:eastAsia="zh-CN"/>
              </w:rPr>
              <w:t>年产1亿米坯布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9</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20</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2</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18</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安徽资环环境工程有限公司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宁国市福华纺织有限公司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宁国市福华纺织有限公司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14880万元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422万元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2.84</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14000万元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255万元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1.82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cs="Times New Roman"/>
                <w:color w:val="auto"/>
                <w:sz w:val="24"/>
                <w:lang w:eastAsia="zh-CN"/>
              </w:rPr>
              <w:t>宁国市福华纺织有限公司</w:t>
            </w:r>
            <w:r>
              <w:rPr>
                <w:rFonts w:hint="default" w:ascii="Times New Roman" w:hAnsi="Times New Roman" w:cs="Times New Roman"/>
                <w:sz w:val="24"/>
                <w:szCs w:val="24"/>
                <w:lang w:eastAsia="zh-CN"/>
              </w:rPr>
              <w:t>年产1亿米坯布项目</w:t>
            </w:r>
            <w:r>
              <w:rPr>
                <w:rFonts w:hint="default" w:ascii="Times New Roman" w:hAnsi="Times New Roman" w:eastAsia="宋体" w:cs="Times New Roman"/>
                <w:color w:val="auto"/>
                <w:sz w:val="24"/>
                <w:szCs w:val="24"/>
                <w:highlight w:val="none"/>
                <w:lang w:val="en-US" w:eastAsia="zh-CN"/>
              </w:rPr>
              <w:t>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安徽资环环境工程有限公司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宁国市福华纺织有限公司年产1亿米坯布项目</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19年9月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eastAsia" w:ascii="Times New Roman" w:hAnsi="Times New Roman" w:cs="Times New Roman"/>
                <w:color w:val="auto"/>
                <w:sz w:val="24"/>
                <w:lang w:eastAsia="zh-CN"/>
              </w:rPr>
              <w:t>宁国市福华纺织有限公司</w:t>
            </w:r>
            <w:r>
              <w:rPr>
                <w:rFonts w:hint="default" w:ascii="Times New Roman" w:hAnsi="Times New Roman" w:cs="Times New Roman"/>
                <w:sz w:val="24"/>
                <w:szCs w:val="24"/>
                <w:lang w:eastAsia="zh-CN"/>
              </w:rPr>
              <w:t>年产1亿米坯布项目</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19]160</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本项目生活污水排放执行《污水综合排放标准》（GB8978-1996）中的三级标准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6"/>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1-1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649"/>
              <w:gridCol w:w="991"/>
              <w:gridCol w:w="876"/>
              <w:gridCol w:w="639"/>
              <w:gridCol w:w="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1"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511"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w:t>
                  </w:r>
                </w:p>
              </w:tc>
              <w:tc>
                <w:tcPr>
                  <w:tcW w:w="780"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690"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03"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42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1"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《污水综合排放标准》（GB8978-1996）表4中的三级标准</w:t>
                  </w:r>
                </w:p>
              </w:tc>
              <w:tc>
                <w:tcPr>
                  <w:tcW w:w="511"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6~9</w:t>
                  </w:r>
                </w:p>
              </w:tc>
              <w:tc>
                <w:tcPr>
                  <w:tcW w:w="78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c>
                <w:tcPr>
                  <w:tcW w:w="69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300</w:t>
                  </w:r>
                </w:p>
              </w:tc>
              <w:tc>
                <w:tcPr>
                  <w:tcW w:w="503"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400</w:t>
                  </w:r>
                </w:p>
              </w:tc>
              <w:tc>
                <w:tcPr>
                  <w:tcW w:w="42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1"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汪溪殷白拓展区污水处理站</w:t>
                  </w:r>
                  <w:r>
                    <w:rPr>
                      <w:rFonts w:hint="eastAsia" w:ascii="Times New Roman" w:hAnsi="Times New Roman" w:eastAsia="宋体" w:cs="Times New Roman"/>
                      <w:color w:val="auto"/>
                      <w:sz w:val="21"/>
                      <w:szCs w:val="21"/>
                      <w:lang w:val="en-US" w:eastAsia="zh-CN"/>
                    </w:rPr>
                    <w:t>接管标准</w:t>
                  </w:r>
                </w:p>
              </w:tc>
              <w:tc>
                <w:tcPr>
                  <w:tcW w:w="649" w:type="dxa"/>
                  <w:tcBorders>
                    <w:tl2br w:val="nil"/>
                    <w:tr2bl w:val="nil"/>
                  </w:tcBorders>
                  <w:noWrap w:val="0"/>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991"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w:t>
                  </w:r>
                </w:p>
              </w:tc>
              <w:tc>
                <w:tcPr>
                  <w:tcW w:w="87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w:t>
                  </w:r>
                </w:p>
              </w:tc>
              <w:tc>
                <w:tcPr>
                  <w:tcW w:w="639"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00</w:t>
                  </w:r>
                </w:p>
              </w:tc>
              <w:tc>
                <w:tcPr>
                  <w:tcW w:w="53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0"/>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噪声排放标准</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0"/>
              <w:gridCol w:w="1738"/>
              <w:gridCol w:w="1584"/>
              <w:gridCol w:w="1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3</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随着我国社会的迅猛发展，布料的需求越来越大，宁国市福华纺织有限公司经过市场调研，决定在宣城市安徽宁国经济技术开发区汪溪殷白园区投资建设年产1亿米坯布项目，项目总投资14880万元，公司通过拍卖购置五星公司土地及厂房（土地47亩，建筑面积6000平方米），同时建设厂房面积15000平方米，项目主要建设内容为：购置喷水织机、整经机、倍捻机、加捻机、加弹机等主要设备若干台套，项目达产后可形成年产1亿米坯布的生产能力。该项目经宁国经济技术开发区管理委员会备案，备案文号为2019-341862-17-03-010945</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公司</w:t>
            </w:r>
            <w:r>
              <w:rPr>
                <w:rFonts w:hint="default" w:ascii="Times New Roman" w:hAnsi="Times New Roman" w:eastAsia="宋体" w:cs="Times New Roman"/>
                <w:sz w:val="24"/>
                <w:szCs w:val="24"/>
                <w:lang w:val="en-US" w:eastAsia="zh-CN"/>
              </w:rPr>
              <w:t>委托</w:t>
            </w:r>
            <w:r>
              <w:rPr>
                <w:rFonts w:hint="eastAsia" w:ascii="Times New Roman" w:hAnsi="Times New Roman" w:eastAsia="宋体" w:cs="Times New Roman"/>
                <w:sz w:val="24"/>
                <w:szCs w:val="24"/>
                <w:lang w:val="en-US" w:eastAsia="zh-CN"/>
              </w:rPr>
              <w:t>安徽资环环境工程有限公司</w:t>
            </w:r>
            <w:r>
              <w:rPr>
                <w:rFonts w:hint="default" w:ascii="Times New Roman" w:hAnsi="Times New Roman" w:eastAsia="宋体" w:cs="Times New Roman"/>
                <w:sz w:val="24"/>
                <w:szCs w:val="24"/>
                <w:lang w:val="en-US" w:eastAsia="zh-CN"/>
              </w:rPr>
              <w:t>编制了《宁国市福华纺织有限公司年产1亿米坯布项目建设环境影响报告表》，于20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lang w:val="en-US" w:eastAsia="zh-CN"/>
              </w:rPr>
              <w:t>日取得</w:t>
            </w:r>
            <w:r>
              <w:rPr>
                <w:rFonts w:hint="eastAsia" w:ascii="Times New Roman" w:hAnsi="Times New Roman" w:eastAsia="宋体" w:cs="Times New Roman"/>
                <w:sz w:val="24"/>
                <w:szCs w:val="24"/>
                <w:lang w:val="en-US" w:eastAsia="zh-CN"/>
              </w:rPr>
              <w:t>宣城市</w:t>
            </w:r>
            <w:r>
              <w:rPr>
                <w:rFonts w:hint="default" w:ascii="Times New Roman" w:hAnsi="Times New Roman" w:eastAsia="宋体" w:cs="Times New Roman"/>
                <w:sz w:val="24"/>
                <w:szCs w:val="24"/>
                <w:lang w:val="en-US" w:eastAsia="zh-CN"/>
              </w:rPr>
              <w:t>宁国市</w:t>
            </w:r>
            <w:r>
              <w:rPr>
                <w:rFonts w:hint="eastAsia" w:ascii="Times New Roman" w:hAnsi="Times New Roman" w:eastAsia="宋体" w:cs="Times New Roman"/>
                <w:sz w:val="24"/>
                <w:szCs w:val="24"/>
                <w:lang w:val="en-US" w:eastAsia="zh-CN"/>
              </w:rPr>
              <w:t>生态环境分</w:t>
            </w:r>
            <w:r>
              <w:rPr>
                <w:rFonts w:hint="default" w:ascii="Times New Roman" w:hAnsi="Times New Roman" w:eastAsia="宋体" w:cs="Times New Roman"/>
                <w:sz w:val="24"/>
                <w:szCs w:val="24"/>
                <w:lang w:val="en-US" w:eastAsia="zh-CN"/>
              </w:rPr>
              <w:t>局环评批复，批复文号：宁</w:t>
            </w:r>
            <w:r>
              <w:rPr>
                <w:rFonts w:hint="eastAsia" w:ascii="Times New Roman" w:hAnsi="Times New Roman" w:eastAsia="宋体" w:cs="Times New Roman"/>
                <w:sz w:val="24"/>
                <w:szCs w:val="24"/>
                <w:lang w:val="en-US" w:eastAsia="zh-CN"/>
              </w:rPr>
              <w:t>环审批</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160</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w:t>
            </w:r>
            <w:r>
              <w:rPr>
                <w:rFonts w:hint="eastAsia" w:ascii="Times New Roman" w:hAnsi="Times New Roman" w:eastAsia="宋体" w:cs="Times New Roman"/>
                <w:color w:val="000000"/>
                <w:kern w:val="0"/>
                <w:sz w:val="24"/>
                <w:szCs w:val="24"/>
                <w:lang w:val="en-US" w:eastAsia="zh-CN" w:bidi="ar"/>
              </w:rPr>
              <w:t>20年2月</w:t>
            </w:r>
            <w:r>
              <w:rPr>
                <w:rFonts w:hint="default" w:ascii="Times New Roman" w:hAnsi="Times New Roman" w:eastAsia="宋体" w:cs="Times New Roman"/>
                <w:color w:val="000000"/>
                <w:kern w:val="0"/>
                <w:sz w:val="24"/>
                <w:szCs w:val="24"/>
                <w:lang w:val="en-US" w:eastAsia="zh-CN" w:bidi="ar"/>
              </w:rPr>
              <w:t>开始建设，202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建设</w:t>
            </w:r>
            <w:r>
              <w:rPr>
                <w:rFonts w:hint="default" w:ascii="Times New Roman" w:hAnsi="Times New Roman" w:eastAsia="宋体" w:cs="Times New Roman"/>
                <w:color w:val="000000"/>
                <w:kern w:val="0"/>
                <w:sz w:val="24"/>
                <w:szCs w:val="24"/>
                <w:lang w:val="en-US" w:eastAsia="zh-CN" w:bidi="ar"/>
              </w:rPr>
              <w:t>，本次验收为</w:t>
            </w:r>
            <w:r>
              <w:rPr>
                <w:rFonts w:hint="eastAsia" w:ascii="Times New Roman" w:hAnsi="Times New Roman" w:eastAsia="宋体" w:cs="Times New Roman"/>
                <w:color w:val="000000"/>
                <w:kern w:val="0"/>
                <w:sz w:val="24"/>
                <w:szCs w:val="24"/>
                <w:lang w:val="en-US" w:eastAsia="zh-CN" w:bidi="ar"/>
              </w:rPr>
              <w:t>整体</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w:t>
            </w:r>
            <w:bookmarkStart w:id="3" w:name="_GoBack"/>
            <w:bookmarkEnd w:id="3"/>
            <w:r>
              <w:rPr>
                <w:rFonts w:hint="default" w:ascii="Times New Roman" w:hAnsi="Times New Roman" w:eastAsia="宋体" w:cs="Times New Roman"/>
                <w:color w:val="000000"/>
                <w:kern w:val="0"/>
                <w:sz w:val="24"/>
                <w:szCs w:val="24"/>
                <w:lang w:val="en-US" w:eastAsia="zh-CN" w:bidi="ar"/>
              </w:rPr>
              <w:t>准确性和完整性负责”的规定，编制阶段性验收监测报告。202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月宁国市福华纺织有限公司成立了验收小组，并委托宁国市浚成环境检测有限公司组织</w:t>
            </w:r>
            <w:r>
              <w:rPr>
                <w:rFonts w:hint="default" w:ascii="Times New Roman" w:hAnsi="Times New Roman" w:eastAsia="宋体" w:cs="Times New Roman"/>
                <w:sz w:val="24"/>
                <w:szCs w:val="24"/>
                <w:lang w:val="en-US" w:eastAsia="zh-CN"/>
              </w:rPr>
              <w:t>宁国市福华纺织有限公司年产1亿米坯布项目</w:t>
            </w:r>
            <w:r>
              <w:rPr>
                <w:rFonts w:hint="default" w:ascii="Times New Roman" w:hAnsi="Times New Roman" w:eastAsia="宋体" w:cs="Times New Roman"/>
                <w:color w:val="000000"/>
                <w:kern w:val="0"/>
                <w:sz w:val="24"/>
                <w:szCs w:val="24"/>
                <w:lang w:val="en-US" w:eastAsia="zh-CN" w:bidi="ar"/>
              </w:rPr>
              <w:t>竣工环保验收。202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17</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18</w:t>
            </w:r>
            <w:r>
              <w:rPr>
                <w:rFonts w:hint="default" w:ascii="Times New Roman" w:hAnsi="Times New Roman" w:eastAsia="宋体" w:cs="Times New Roman"/>
                <w:color w:val="000000"/>
                <w:kern w:val="0"/>
                <w:sz w:val="24"/>
                <w:szCs w:val="24"/>
                <w:lang w:val="en-US" w:eastAsia="zh-CN" w:bidi="ar"/>
              </w:rPr>
              <w:t>日，宁国市浚成环境检测有限公司对该项目开展现场检测工作，同时调查并核实项目环境保护工作落实情况，并编制完成《</w:t>
            </w:r>
            <w:r>
              <w:rPr>
                <w:rFonts w:hint="default" w:ascii="Times New Roman" w:hAnsi="Times New Roman" w:eastAsia="宋体" w:cs="Times New Roman"/>
                <w:sz w:val="24"/>
                <w:szCs w:val="24"/>
                <w:lang w:val="en-US" w:eastAsia="zh-CN"/>
              </w:rPr>
              <w:t>宁国市福华纺织有限公司年产1亿米坯布项目</w:t>
            </w:r>
            <w:r>
              <w:rPr>
                <w:rFonts w:hint="default" w:ascii="Times New Roman" w:hAnsi="Times New Roman" w:eastAsia="宋体" w:cs="Times New Roman"/>
                <w:color w:val="000000"/>
                <w:kern w:val="0"/>
                <w:sz w:val="24"/>
                <w:szCs w:val="24"/>
                <w:lang w:val="en-US" w:eastAsia="zh-CN" w:bidi="ar"/>
              </w:rPr>
              <w:t>竣工环境保护验收监测报告表》。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w:t>
            </w:r>
            <w:r>
              <w:rPr>
                <w:rFonts w:hint="default" w:ascii="Times New Roman" w:hAnsi="Times New Roman" w:eastAsia="宋体" w:cs="Times New Roman"/>
                <w:sz w:val="24"/>
                <w:szCs w:val="24"/>
                <w:lang w:val="en-US" w:eastAsia="zh-CN"/>
              </w:rPr>
              <w:t>年产1亿米坯布，</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097"/>
              <w:gridCol w:w="3043"/>
              <w:gridCol w:w="2699"/>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839"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31"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w:t>
                  </w:r>
                  <w:r>
                    <w:rPr>
                      <w:rFonts w:hint="eastAsia" w:ascii="Times New Roman" w:hAnsi="Times New Roman"/>
                      <w:color w:val="auto"/>
                      <w:szCs w:val="21"/>
                      <w:lang w:eastAsia="zh-CN"/>
                    </w:rPr>
                    <w:t>生产车间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位于项目东侧，用于坯布的生产，新建车间，主要包括喷水织机、整经机、倍捻机、加捻机、加弹机。</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8163.49</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位于项目东侧，用于坯布的生产，新建车间，布置喷水织机500台。</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8163.49</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eastAsia" w:ascii="Times New Roman" w:hAnsi="Times New Roman"/>
                      <w:color w:val="auto"/>
                      <w:szCs w:val="21"/>
                    </w:rPr>
                    <w:t>2#</w:t>
                  </w:r>
                  <w:r>
                    <w:rPr>
                      <w:rFonts w:hint="eastAsia" w:ascii="Times New Roman" w:hAnsi="Times New Roman"/>
                      <w:color w:val="auto"/>
                      <w:szCs w:val="21"/>
                      <w:lang w:eastAsia="zh-CN"/>
                    </w:rPr>
                    <w:t>生产车间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r>
                    <w:rPr>
                      <w:rFonts w:hint="eastAsia" w:ascii="Times New Roman" w:hAnsi="Times New Roman" w:eastAsia="宋体" w:cs="Times New Roman"/>
                      <w:color w:val="auto"/>
                      <w:szCs w:val="21"/>
                      <w:lang w:val="en-US" w:eastAsia="zh-CN"/>
                    </w:rPr>
                    <w:t>位于项目西侧，依托已有车间，设备与其他车间一致，仅数量不同。</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5157.46</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r>
                    <w:rPr>
                      <w:rFonts w:hint="eastAsia" w:ascii="Times New Roman" w:hAnsi="Times New Roman" w:eastAsia="宋体" w:cs="Times New Roman"/>
                      <w:color w:val="auto"/>
                      <w:szCs w:val="21"/>
                      <w:lang w:val="en-US" w:eastAsia="zh-CN"/>
                    </w:rPr>
                    <w:t>位于项目西侧，依托已有车间，布置喷水织机150台。</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5157.46</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eastAsia" w:ascii="Times New Roman" w:hAnsi="Times New Roman"/>
                      <w:color w:val="auto"/>
                      <w:szCs w:val="21"/>
                      <w:lang w:val="en-US" w:eastAsia="zh-CN"/>
                    </w:rPr>
                    <w:t>3</w:t>
                  </w:r>
                  <w:r>
                    <w:rPr>
                      <w:rFonts w:hint="eastAsia" w:ascii="Times New Roman" w:hAnsi="Times New Roman"/>
                      <w:color w:val="auto"/>
                      <w:szCs w:val="21"/>
                    </w:rPr>
                    <w:t>#</w:t>
                  </w:r>
                  <w:r>
                    <w:rPr>
                      <w:rFonts w:hint="eastAsia" w:ascii="Times New Roman" w:hAnsi="Times New Roman"/>
                      <w:color w:val="auto"/>
                      <w:szCs w:val="21"/>
                      <w:lang w:eastAsia="zh-CN"/>
                    </w:rPr>
                    <w:t>生产车间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r>
                    <w:rPr>
                      <w:rFonts w:hint="eastAsia" w:ascii="Times New Roman" w:hAnsi="Times New Roman" w:eastAsia="宋体" w:cs="Times New Roman"/>
                      <w:color w:val="auto"/>
                      <w:szCs w:val="21"/>
                      <w:lang w:val="en-US" w:eastAsia="zh-CN"/>
                    </w:rPr>
                    <w:t>位于项目西北侧，新建车间，设备与其他车间一致，仅数量不同。</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3008.98</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r>
                    <w:rPr>
                      <w:rFonts w:hint="eastAsia" w:ascii="Times New Roman" w:hAnsi="Times New Roman" w:eastAsia="宋体" w:cs="Times New Roman"/>
                      <w:color w:val="auto"/>
                      <w:szCs w:val="21"/>
                      <w:lang w:val="en-US" w:eastAsia="zh-CN"/>
                    </w:rPr>
                    <w:t>位于项目西北侧，新建车间，布置喷水织机150台。</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3008.98</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4</w:t>
                  </w:r>
                  <w:r>
                    <w:rPr>
                      <w:rFonts w:hint="eastAsia" w:ascii="Times New Roman" w:hAnsi="Times New Roman"/>
                      <w:color w:val="auto"/>
                      <w:szCs w:val="21"/>
                    </w:rPr>
                    <w:t>#</w:t>
                  </w:r>
                  <w:r>
                    <w:rPr>
                      <w:rFonts w:hint="eastAsia" w:ascii="Times New Roman" w:hAnsi="Times New Roman"/>
                      <w:color w:val="auto"/>
                      <w:szCs w:val="21"/>
                      <w:lang w:eastAsia="zh-CN"/>
                    </w:rPr>
                    <w:t>生产车间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位于项目西南侧，新建车间，设备与其他车间一致，仅数量不同。</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1225.15</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位于项目西南侧，新建车间，布置喷水织机100台、穿棕机1台。</w:t>
                  </w: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1225.15</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bCs/>
                      <w:color w:val="auto"/>
                      <w:szCs w:val="21"/>
                      <w:lang w:eastAsia="zh-CN"/>
                    </w:rPr>
                    <w:t>成品区</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每个车间生产区域一侧</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用于成品贮存</w:t>
                  </w:r>
                  <w:r>
                    <w:rPr>
                      <w:rFonts w:hint="default" w:ascii="Times New Roman" w:hAnsi="Times New Roman" w:eastAsia="宋体" w:cs="Times New Roman"/>
                      <w:color w:val="auto"/>
                      <w:sz w:val="21"/>
                      <w:szCs w:val="21"/>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每个车间生产区域一侧</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用于成品贮存</w:t>
                  </w:r>
                  <w:r>
                    <w:rPr>
                      <w:rFonts w:hint="default" w:ascii="Times New Roman" w:hAnsi="Times New Roman" w:eastAsia="宋体" w:cs="Times New Roman"/>
                      <w:color w:val="auto"/>
                      <w:sz w:val="21"/>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bCs/>
                      <w:color w:val="auto"/>
                      <w:szCs w:val="21"/>
                      <w:lang w:eastAsia="zh-CN"/>
                    </w:rPr>
                    <w:t>原材料堆放区</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生产车间生产区域一侧，用于原材料的存储。</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生产车间生产区域一侧，用于原材料的存储。</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eastAsia" w:ascii="Times New Roman" w:hAnsi="Times New Roman" w:eastAsia="宋体" w:cs="Times New Roman"/>
                      <w:bCs/>
                      <w:color w:val="auto"/>
                      <w:szCs w:val="21"/>
                      <w:lang w:eastAsia="zh-CN"/>
                    </w:rPr>
                    <w:t>一般固废暂存间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Cs w:val="21"/>
                    </w:rPr>
                  </w:pPr>
                  <w:r>
                    <w:rPr>
                      <w:rFonts w:hint="eastAsia" w:ascii="Times New Roman" w:hAnsi="Times New Roman" w:eastAsia="宋体" w:cs="Times New Roman"/>
                      <w:color w:val="auto"/>
                      <w:szCs w:val="21"/>
                      <w:lang w:eastAsia="zh-CN"/>
                    </w:rPr>
                    <w:t>每个生产车间均配有一个一般固废间，</w:t>
                  </w:r>
                  <w:r>
                    <w:rPr>
                      <w:rFonts w:hint="eastAsia" w:ascii="Times New Roman" w:hAnsi="Times New Roman" w:eastAsia="宋体" w:cs="Times New Roman"/>
                      <w:color w:val="auto"/>
                      <w:szCs w:val="21"/>
                      <w:lang w:val="en-US" w:eastAsia="zh-CN"/>
                    </w:rPr>
                    <w:t>用于一般固废的暂存。</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Cs w:val="21"/>
                    </w:rPr>
                  </w:pPr>
                  <w:r>
                    <w:rPr>
                      <w:rFonts w:hint="eastAsia" w:ascii="Times New Roman" w:hAnsi="Times New Roman" w:eastAsia="宋体" w:cs="Times New Roman"/>
                      <w:color w:val="auto"/>
                      <w:szCs w:val="21"/>
                      <w:lang w:eastAsia="zh-CN"/>
                    </w:rPr>
                    <w:t>每个生产车间均配有一个建筑面积为</w:t>
                  </w:r>
                  <w:r>
                    <w:rPr>
                      <w:rFonts w:hint="eastAsia" w:ascii="Times New Roman" w:hAnsi="Times New Roman" w:eastAsia="宋体" w:cs="Times New Roman"/>
                      <w:color w:val="auto"/>
                      <w:szCs w:val="21"/>
                      <w:lang w:val="en-US" w:eastAsia="zh-CN"/>
                    </w:rPr>
                    <w:t>10m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的</w:t>
                  </w:r>
                  <w:r>
                    <w:rPr>
                      <w:rFonts w:hint="eastAsia" w:ascii="Times New Roman" w:hAnsi="Times New Roman" w:eastAsia="宋体" w:cs="Times New Roman"/>
                      <w:color w:val="auto"/>
                      <w:szCs w:val="21"/>
                      <w:lang w:eastAsia="zh-CN"/>
                    </w:rPr>
                    <w:t>一般固废间</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eastAsia="宋体" w:cs="Times New Roman"/>
                      <w:bCs/>
                      <w:color w:val="auto"/>
                      <w:szCs w:val="21"/>
                      <w:lang w:eastAsia="zh-CN"/>
                    </w:rPr>
                    <w:t>危废暂存间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1#车间西南角，用于危废的存储。</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1#车间南侧，建筑面积10m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Cs w:val="21"/>
                    </w:rPr>
                    <w:t>供电</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Cs w:val="21"/>
                      <w:lang w:eastAsia="zh-CN"/>
                    </w:rPr>
                    <w:t>依托园区供电管网</w:t>
                  </w:r>
                  <w:r>
                    <w:rPr>
                      <w:rFonts w:hint="default" w:ascii="Times New Roman" w:hAnsi="Times New Roman" w:eastAsia="宋体" w:cs="Times New Roman"/>
                      <w:bCs/>
                      <w:color w:val="auto"/>
                      <w:szCs w:val="21"/>
                      <w:lang w:val="en-US" w:eastAsia="zh-CN"/>
                    </w:rPr>
                    <w:t>，年用电量约</w:t>
                  </w:r>
                  <w:r>
                    <w:rPr>
                      <w:rFonts w:hint="eastAsia" w:ascii="Times New Roman" w:hAnsi="Times New Roman" w:eastAsia="宋体" w:cs="Times New Roman"/>
                      <w:bCs/>
                      <w:color w:val="auto"/>
                      <w:szCs w:val="21"/>
                      <w:lang w:val="en-US" w:eastAsia="zh-CN"/>
                    </w:rPr>
                    <w:t>700</w:t>
                  </w:r>
                  <w:r>
                    <w:rPr>
                      <w:rFonts w:hint="default" w:ascii="Times New Roman" w:hAnsi="Times New Roman" w:eastAsia="宋体" w:cs="Times New Roman"/>
                      <w:bCs/>
                      <w:color w:val="auto"/>
                      <w:szCs w:val="21"/>
                      <w:lang w:val="en-US" w:eastAsia="zh-CN"/>
                    </w:rPr>
                    <w:t>万kwh</w:t>
                  </w:r>
                  <w:r>
                    <w:rPr>
                      <w:rFonts w:hint="default" w:ascii="Times New Roman" w:hAnsi="Times New Roman" w:eastAsia="宋体" w:cs="Times New Roman"/>
                      <w:bCs/>
                      <w:color w:val="auto"/>
                      <w:szCs w:val="21"/>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Cs w:val="21"/>
                      <w:lang w:eastAsia="zh-CN"/>
                    </w:rPr>
                    <w:t>依托园区供电管网</w:t>
                  </w:r>
                  <w:r>
                    <w:rPr>
                      <w:rFonts w:hint="default" w:ascii="Times New Roman" w:hAnsi="Times New Roman" w:eastAsia="宋体" w:cs="Times New Roman"/>
                      <w:bCs/>
                      <w:color w:val="auto"/>
                      <w:szCs w:val="21"/>
                      <w:lang w:val="en-US" w:eastAsia="zh-CN"/>
                    </w:rPr>
                    <w:t>，年用电量约</w:t>
                  </w:r>
                  <w:r>
                    <w:rPr>
                      <w:rFonts w:hint="eastAsia" w:ascii="Times New Roman" w:hAnsi="Times New Roman" w:eastAsia="宋体" w:cs="Times New Roman"/>
                      <w:bCs/>
                      <w:color w:val="auto"/>
                      <w:szCs w:val="21"/>
                      <w:lang w:val="en-US" w:eastAsia="zh-CN"/>
                    </w:rPr>
                    <w:t>700</w:t>
                  </w:r>
                  <w:r>
                    <w:rPr>
                      <w:rFonts w:hint="default" w:ascii="Times New Roman" w:hAnsi="Times New Roman" w:eastAsia="宋体" w:cs="Times New Roman"/>
                      <w:bCs/>
                      <w:color w:val="auto"/>
                      <w:szCs w:val="21"/>
                      <w:lang w:val="en-US" w:eastAsia="zh-CN"/>
                    </w:rPr>
                    <w:t>万kwh</w:t>
                  </w:r>
                  <w:r>
                    <w:rPr>
                      <w:rFonts w:hint="default" w:ascii="Times New Roman" w:hAnsi="Times New Roman" w:eastAsia="宋体" w:cs="Times New Roman"/>
                      <w:bCs/>
                      <w:color w:val="auto"/>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color w:val="auto"/>
                      <w:szCs w:val="21"/>
                    </w:rPr>
                    <w:t>供水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Cs w:val="21"/>
                    </w:rPr>
                    <w:t>项目用水依托原有</w:t>
                  </w:r>
                  <w:r>
                    <w:rPr>
                      <w:rFonts w:hint="eastAsia" w:ascii="Times New Roman" w:hAnsi="Times New Roman" w:eastAsia="宋体" w:cs="Times New Roman"/>
                      <w:color w:val="auto"/>
                      <w:szCs w:val="21"/>
                      <w:lang w:eastAsia="zh-CN"/>
                    </w:rPr>
                    <w:t>市政</w:t>
                  </w:r>
                  <w:r>
                    <w:rPr>
                      <w:rFonts w:hint="default" w:ascii="Times New Roman" w:hAnsi="Times New Roman" w:eastAsia="宋体" w:cs="Times New Roman"/>
                      <w:color w:val="auto"/>
                      <w:szCs w:val="21"/>
                    </w:rPr>
                    <w:t>供水管网</w:t>
                  </w:r>
                  <w:r>
                    <w:rPr>
                      <w:rFonts w:hint="eastAsia" w:ascii="Times New Roman" w:hAnsi="Times New Roman" w:eastAsia="宋体" w:cs="Times New Roman"/>
                      <w:color w:val="auto"/>
                      <w:szCs w:val="21"/>
                      <w:lang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Cs w:val="21"/>
                    </w:rPr>
                    <w:t>项目用水依托原有</w:t>
                  </w:r>
                  <w:r>
                    <w:rPr>
                      <w:rFonts w:hint="eastAsia" w:ascii="Times New Roman" w:hAnsi="Times New Roman" w:eastAsia="宋体" w:cs="Times New Roman"/>
                      <w:color w:val="auto"/>
                      <w:szCs w:val="21"/>
                      <w:lang w:eastAsia="zh-CN"/>
                    </w:rPr>
                    <w:t>市政</w:t>
                  </w:r>
                  <w:r>
                    <w:rPr>
                      <w:rFonts w:hint="default" w:ascii="Times New Roman" w:hAnsi="Times New Roman" w:eastAsia="宋体" w:cs="Times New Roman"/>
                      <w:color w:val="auto"/>
                      <w:szCs w:val="21"/>
                    </w:rPr>
                    <w:t>供水管网</w:t>
                  </w:r>
                  <w:r>
                    <w:rPr>
                      <w:rFonts w:hint="eastAsia" w:ascii="Times New Roman" w:hAnsi="Times New Roman" w:eastAsia="宋体" w:cs="Times New Roman"/>
                      <w:color w:val="auto"/>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Cs/>
                      <w:color w:val="auto"/>
                      <w:szCs w:val="21"/>
                    </w:rPr>
                    <w:t>排水</w:t>
                  </w:r>
                </w:p>
              </w:tc>
              <w:tc>
                <w:tcPr>
                  <w:tcW w:w="1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eastAsia="宋体" w:cs="Times New Roman"/>
                      <w:color w:val="auto"/>
                      <w:szCs w:val="21"/>
                      <w:lang w:eastAsia="zh-CN"/>
                    </w:rPr>
                    <w:t>项目厂区内实行雨污分流；生活污水经化粪池预处理后排入园区市政污水管网，最终排入汪溪殷白拓展区污水处理站进行处理，处理达标后最终排入水阳江。生产废水经自建的污水处理站处理后回用，生产废水不外排。</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eastAsia="宋体" w:cs="Times New Roman"/>
                      <w:color w:val="auto"/>
                      <w:szCs w:val="21"/>
                      <w:lang w:eastAsia="zh-CN"/>
                    </w:rPr>
                    <w:t>项目厂区内实行雨污分流；生活污水经化粪池预处理后排入园区市政污水管网，最终排入汪溪殷白拓展区污水处理站进行处理，处理达标后最终排入水阳江。生产废水经自建的污水处理站处理后回用，生产废水不外排。</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Cs/>
                      <w:color w:val="auto"/>
                      <w:szCs w:val="21"/>
                      <w:lang w:eastAsia="zh-CN"/>
                    </w:rPr>
                    <w:t>办公楼</w:t>
                  </w:r>
                </w:p>
              </w:tc>
              <w:tc>
                <w:tcPr>
                  <w:tcW w:w="1839"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位于项目西北侧，与3#厂房相连，共2层</w:t>
                  </w:r>
                  <w:r>
                    <w:rPr>
                      <w:rFonts w:hint="default" w:ascii="Times New Roman" w:hAnsi="Times New Roman" w:eastAsia="宋体" w:cs="Times New Roman"/>
                      <w:color w:val="auto"/>
                      <w:szCs w:val="21"/>
                      <w:lang w:val="en-US" w:eastAsia="zh-CN"/>
                    </w:rPr>
                    <w:t>，用于办公及业务接待等。建筑面积约</w:t>
                  </w:r>
                  <w:r>
                    <w:rPr>
                      <w:rFonts w:hint="eastAsia" w:ascii="Times New Roman" w:hAnsi="Times New Roman" w:eastAsia="宋体" w:cs="Times New Roman"/>
                      <w:color w:val="auto"/>
                      <w:szCs w:val="21"/>
                      <w:lang w:val="en-US" w:eastAsia="zh-CN"/>
                    </w:rPr>
                    <w:t>423.80</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1631"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szCs w:val="21"/>
                      <w:lang w:val="en-US" w:eastAsia="zh-CN"/>
                    </w:rPr>
                    <w:t>位于项目西北侧，与3#厂房相连，共2层</w:t>
                  </w:r>
                  <w:r>
                    <w:rPr>
                      <w:rFonts w:hint="default" w:ascii="Times New Roman" w:hAnsi="Times New Roman" w:eastAsia="宋体" w:cs="Times New Roman"/>
                      <w:color w:val="auto"/>
                      <w:szCs w:val="21"/>
                      <w:lang w:val="en-US" w:eastAsia="zh-CN"/>
                    </w:rPr>
                    <w:t>，用于办公及业务接待等。建筑面积约</w:t>
                  </w:r>
                  <w:r>
                    <w:rPr>
                      <w:rFonts w:hint="eastAsia" w:ascii="Times New Roman" w:hAnsi="Times New Roman" w:eastAsia="宋体" w:cs="Times New Roman"/>
                      <w:color w:val="auto"/>
                      <w:szCs w:val="21"/>
                      <w:lang w:val="en-US" w:eastAsia="zh-CN"/>
                    </w:rPr>
                    <w:t>423.80</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tcBorders>
                    <w:tl2br w:val="nil"/>
                    <w:tr2bl w:val="nil"/>
                  </w:tcBorders>
                  <w:noWrap w:val="0"/>
                  <w:vAlign w:val="center"/>
                </w:tcPr>
                <w:p>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废水处理</w:t>
                  </w:r>
                </w:p>
              </w:tc>
              <w:tc>
                <w:tcPr>
                  <w:tcW w:w="1839" w:type="pct"/>
                  <w:tcBorders>
                    <w:tl2br w:val="nil"/>
                    <w:tr2bl w:val="nil"/>
                  </w:tcBorders>
                  <w:noWrap w:val="0"/>
                  <w:vAlign w:val="center"/>
                </w:tcPr>
                <w:p>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项目厂区内实行雨污分流；园区污水管网未接通及汪溪殷白拓展区污水处理站未运行前，项目生活污水经化粪池预处理后清掏农用，不外排；待园区汪溪殷白拓展区污水处理站未运行后，生活污水经化粪池预处理后排入园区市政污水管网，最终排入汪溪殷白拓展区污水处理站进行处理，处理达标后最终排入水阳江。生产废水经自建的污水处理站处理后回用，生产废水不外排。</w:t>
                  </w:r>
                </w:p>
              </w:tc>
              <w:tc>
                <w:tcPr>
                  <w:tcW w:w="1631" w:type="pct"/>
                  <w:tcBorders>
                    <w:tl2br w:val="nil"/>
                    <w:tr2bl w:val="nil"/>
                  </w:tcBorders>
                  <w:noWrap w:val="0"/>
                  <w:vAlign w:val="center"/>
                </w:tcPr>
                <w:p>
                  <w:pPr>
                    <w:pStyle w:val="23"/>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噪声处理</w:t>
                  </w:r>
                </w:p>
              </w:tc>
              <w:tc>
                <w:tcPr>
                  <w:tcW w:w="1839" w:type="pct"/>
                  <w:tcBorders>
                    <w:tl2br w:val="nil"/>
                    <w:tr2bl w:val="nil"/>
                  </w:tcBorders>
                  <w:noWrap w:val="0"/>
                  <w:vAlign w:val="center"/>
                </w:tcPr>
                <w:p>
                  <w:pPr>
                    <w:snapToGrid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设施减震基础，采取厂房隔声、消声等措施。</w:t>
                  </w:r>
                </w:p>
              </w:tc>
              <w:tc>
                <w:tcPr>
                  <w:tcW w:w="1631"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选用低噪音设备，采用基础减振、隔声等措施</w:t>
                  </w:r>
                  <w:r>
                    <w:rPr>
                      <w:rFonts w:hint="eastAsia"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固废处理</w:t>
                  </w:r>
                </w:p>
              </w:tc>
              <w:tc>
                <w:tcPr>
                  <w:tcW w:w="1839" w:type="pct"/>
                  <w:tcBorders>
                    <w:tl2br w:val="nil"/>
                    <w:tr2bl w:val="nil"/>
                  </w:tcBorders>
                  <w:noWrap w:val="0"/>
                  <w:vAlign w:val="center"/>
                </w:tcPr>
                <w:p>
                  <w:pPr>
                    <w:snapToGrid w:val="0"/>
                    <w:jc w:val="center"/>
                    <w:rPr>
                      <w:rFonts w:hint="default" w:ascii="Times New Roman" w:hAnsi="Times New Roman" w:cs="Times New Roman" w:eastAsiaTheme="minorEastAsia"/>
                      <w:color w:val="auto"/>
                      <w:kern w:val="0"/>
                      <w:szCs w:val="21"/>
                      <w:lang w:eastAsia="zh-CN"/>
                    </w:rPr>
                  </w:pPr>
                  <w:r>
                    <w:rPr>
                      <w:rFonts w:hint="eastAsia"/>
                      <w:color w:val="auto"/>
                      <w:szCs w:val="21"/>
                      <w:lang w:eastAsia="zh-CN"/>
                    </w:rPr>
                    <w:t>危废暂存间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一般固废临时储存间；设置垃圾箱。</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每个生产车间均配有一个建筑面积为10m</w:t>
                  </w:r>
                  <w:r>
                    <w:rPr>
                      <w:rFonts w:hint="eastAsia" w:ascii="Times New Roman" w:hAnsi="Times New Roman" w:eastAsia="宋体" w:cs="Times New Roman"/>
                      <w:color w:val="auto"/>
                      <w:szCs w:val="21"/>
                      <w:vertAlign w:val="superscript"/>
                      <w:lang w:eastAsia="zh-CN"/>
                    </w:rPr>
                    <w:t>2</w:t>
                  </w:r>
                  <w:r>
                    <w:rPr>
                      <w:rFonts w:hint="eastAsia" w:ascii="Times New Roman" w:hAnsi="Times New Roman" w:eastAsia="宋体" w:cs="Times New Roman"/>
                      <w:color w:val="auto"/>
                      <w:szCs w:val="21"/>
                      <w:lang w:eastAsia="zh-CN"/>
                    </w:rPr>
                    <w:t>的一般固废间</w:t>
                  </w:r>
                  <w:r>
                    <w:rPr>
                      <w:rFonts w:hint="eastAsia" w:ascii="Times New Roman" w:hAnsi="Times New Roman" w:eastAsia="宋体" w:cs="Times New Roman"/>
                      <w:color w:val="auto"/>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eastAsia" w:ascii="Times New Roman" w:hAnsi="Times New Roman" w:eastAsia="宋体" w:cs="Times New Roman"/>
                      <w:color w:val="auto"/>
                      <w:szCs w:val="21"/>
                      <w:lang w:eastAsia="zh-CN"/>
                    </w:rPr>
                    <w:t>新建一间危废暂存间</w:t>
                  </w:r>
                  <w:r>
                    <w:rPr>
                      <w:rFonts w:hint="eastAsia" w:ascii="Times New Roman" w:hAnsi="Times New Roman" w:eastAsia="宋体" w:cs="Times New Roman"/>
                      <w:color w:val="auto"/>
                      <w:szCs w:val="21"/>
                      <w:lang w:val="en-US" w:eastAsia="zh-CN"/>
                    </w:rPr>
                    <w:t>10m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eastAsia="zh-CN"/>
                    </w:rPr>
                    <w:t>位于</w:t>
                  </w:r>
                  <w:r>
                    <w:rPr>
                      <w:rFonts w:hint="eastAsia" w:ascii="Times New Roman" w:hAnsi="Times New Roman" w:eastAsia="宋体" w:cs="Times New Roman"/>
                      <w:color w:val="auto"/>
                      <w:szCs w:val="21"/>
                      <w:lang w:val="en-US" w:eastAsia="zh-CN"/>
                    </w:rPr>
                    <w:t>1#车间南侧，用于危废的存储。</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szCs w:val="21"/>
                    </w:rPr>
                    <w:t>生活垃圾</w:t>
                  </w:r>
                  <w:r>
                    <w:rPr>
                      <w:rFonts w:hint="eastAsia" w:ascii="Times New Roman" w:hAnsi="Times New Roman" w:cs="Times New Roman"/>
                      <w:szCs w:val="21"/>
                      <w:lang w:eastAsia="zh-CN"/>
                    </w:rPr>
                    <w:t>由</w:t>
                  </w:r>
                  <w:r>
                    <w:rPr>
                      <w:rFonts w:hint="default" w:ascii="Times New Roman" w:hAnsi="Times New Roman" w:cs="Times New Roman"/>
                      <w:szCs w:val="21"/>
                    </w:rPr>
                    <w:t>垃圾桶集中收集，收集后由环卫部门</w:t>
                  </w:r>
                  <w:r>
                    <w:rPr>
                      <w:rFonts w:hint="eastAsia" w:ascii="Times New Roman" w:hAnsi="Times New Roman" w:cs="Times New Roman"/>
                      <w:szCs w:val="21"/>
                      <w:lang w:eastAsia="zh-CN"/>
                    </w:rPr>
                    <w:t>统一</w:t>
                  </w:r>
                  <w:r>
                    <w:rPr>
                      <w:rFonts w:hint="default" w:ascii="Times New Roman" w:hAnsi="Times New Roman" w:cs="Times New Roman"/>
                      <w:szCs w:val="21"/>
                    </w:rPr>
                    <w:t>清运</w:t>
                  </w:r>
                  <w:r>
                    <w:rPr>
                      <w:rFonts w:hint="default"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98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安徽省宣城市宁国市汪溪办事处殷白村</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安徽省宣城市宁国市汪溪办事处殷白村</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建设内容年产1亿米坯布</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目前实际建设内容年产1亿米坯布</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建设内容年产1亿米坯布</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目前实际建设内容年产1亿米坯布</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安徽省宣城市宁国市汪溪办事处殷白村</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安徽省宣城市宁国市汪溪办事处殷白村</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vertAlign w:val="baseline"/>
                      <w:lang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color w:val="000000" w:themeColor="text1"/>
                      <w:szCs w:val="21"/>
                      <w:lang w:eastAsia="zh-CN"/>
                      <w14:textFill>
                        <w14:solidFill>
                          <w14:schemeClr w14:val="tx1"/>
                        </w14:solidFill>
                      </w14:textFill>
                    </w:rPr>
                    <w:t>生活污水经化粪池预处理后排入园区市政污水管网，最终排入汪溪殷白拓展区污水处理站进行处理，处理达标后最终排入水阳江。生产废水经自建的污水处理站处理后回用，生产废水不外排。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lang w:eastAsia="zh-CN"/>
                    </w:rPr>
                    <w:t>本项目无废气排放。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lang w:eastAsia="zh-CN"/>
                    </w:rPr>
                    <w:t>本项目无废气排放。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1"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设施减震基础，采取厂房隔声、消声等措施。危废暂存间、一般固废临时储存间；设置垃圾箱。</w:t>
                  </w:r>
                </w:p>
              </w:tc>
              <w:tc>
                <w:tcPr>
                  <w:tcW w:w="2074"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r>
                    <w:rPr>
                      <w:rFonts w:hint="default" w:ascii="Times New Roman" w:hAnsi="Times New Roman" w:eastAsia="宋体" w:cs="Times New Roman"/>
                      <w:vertAlign w:val="baseline"/>
                      <w:lang w:val="en-US" w:eastAsia="zh-CN"/>
                    </w:rPr>
                    <w:t>每个生产车间均配有一个一般固废间。</w:t>
                  </w:r>
                </w:p>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1#车间南侧</w:t>
                  </w:r>
                  <w:r>
                    <w:rPr>
                      <w:rFonts w:hint="default" w:ascii="Times New Roman" w:hAnsi="Times New Roman" w:eastAsia="宋体" w:cs="Times New Roman"/>
                      <w:vertAlign w:val="baseline"/>
                      <w:lang w:val="en-US" w:eastAsia="zh-CN"/>
                    </w:rPr>
                    <w:t>新建一间危废暂存间10m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，用于危废的存储。</w:t>
                  </w:r>
                </w:p>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生活垃圾由垃圾桶集中收集，收集后由环卫部门统一清运</w:t>
                  </w:r>
                  <w:r>
                    <w:rPr>
                      <w:rFonts w:hint="default" w:ascii="Times New Roman" w:hAnsi="Times New Roman" w:eastAsia="宋体" w:cs="Times New Roman"/>
                      <w:bCs/>
                      <w:color w:val="auto"/>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color w:val="auto"/>
                      <w:szCs w:val="21"/>
                      <w:lang w:eastAsia="zh-CN"/>
                    </w:rPr>
                    <w:t>危废暂存间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一般固废临时储存间；设置垃圾箱。</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每个生产车间均配有一个一般固废间，用于一般固废的暂存。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新建一间危废暂存间10m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，用于危废的存储。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生活垃圾由垃圾桶集中收集，收集后由环卫部门统一清运。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833"/>
              <w:gridCol w:w="1475"/>
              <w:gridCol w:w="1654"/>
              <w:gridCol w:w="1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0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涤纶长丝</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7866</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78</w:t>
                  </w:r>
                  <w:r>
                    <w:rPr>
                      <w:rFonts w:hint="eastAsia" w:ascii="Times New Roman" w:hAnsi="Times New Roman"/>
                      <w:color w:val="auto"/>
                      <w:sz w:val="21"/>
                      <w:szCs w:val="21"/>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涤纶低弹丝</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520</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5</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聚丙烯酸酯乳液</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990</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机油</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5</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黄油</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0.8</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PAC</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45</w:t>
                  </w:r>
                </w:p>
              </w:tc>
              <w:tc>
                <w:tcPr>
                  <w:tcW w:w="1657" w:type="dxa"/>
                  <w:tcBorders>
                    <w:tl2br w:val="nil"/>
                    <w:tr2bl w:val="nil"/>
                  </w:tcBorders>
                  <w:noWrap w:val="0"/>
                  <w:vAlign w:val="center"/>
                </w:tcPr>
                <w:p>
                  <w:pPr>
                    <w:pStyle w:val="34"/>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olor w:val="auto"/>
                      <w:sz w:val="21"/>
                      <w:szCs w:val="21"/>
                    </w:rPr>
                    <w:t>4</w:t>
                  </w:r>
                  <w:r>
                    <w:rPr>
                      <w:rFonts w:hint="eastAsia" w:ascii="Times New Roman" w:hAnsi="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olor w:val="auto"/>
                      <w:sz w:val="21"/>
                      <w:szCs w:val="21"/>
                    </w:rPr>
                    <w:t>PAM</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2.5</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107" w:type="pct"/>
                  <w:tcBorders>
                    <w:tl2br w:val="nil"/>
                    <w:tr2bl w:val="nil"/>
                  </w:tcBorders>
                  <w:noWrap w:val="0"/>
                  <w:vAlign w:val="center"/>
                </w:tcPr>
                <w:p>
                  <w:pPr>
                    <w:pStyle w:val="34"/>
                    <w:spacing w:line="240" w:lineRule="auto"/>
                    <w:ind w:firstLine="0" w:firstLineChars="0"/>
                    <w:jc w:val="center"/>
                    <w:rPr>
                      <w:rFonts w:hint="default" w:ascii="Times New Roman" w:hAnsi="Times New Roman" w:cs="Times New Roman"/>
                      <w:sz w:val="21"/>
                      <w:szCs w:val="22"/>
                      <w:lang w:val="en-US" w:eastAsia="zh-CN"/>
                    </w:rPr>
                  </w:pPr>
                  <w:r>
                    <w:rPr>
                      <w:rFonts w:hint="eastAsia" w:ascii="Times New Roman" w:hAnsi="Times New Roman"/>
                      <w:color w:val="auto"/>
                      <w:sz w:val="21"/>
                      <w:szCs w:val="21"/>
                    </w:rPr>
                    <w:t>包装纸</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eastAsia="zh-CN"/>
                    </w:rPr>
                  </w:pPr>
                  <w:r>
                    <w:rPr>
                      <w:rFonts w:hint="default" w:ascii="Times New Roman" w:hAnsi="Times New Roman" w:cs="Times New Roman"/>
                      <w:szCs w:val="21"/>
                      <w:lang w:val="en-US" w:eastAsia="zh-CN"/>
                    </w:rPr>
                    <w:t>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olor w:val="auto"/>
                      <w:sz w:val="21"/>
                      <w:szCs w:val="21"/>
                    </w:rPr>
                    <w:t>5</w:t>
                  </w:r>
                </w:p>
              </w:tc>
              <w:tc>
                <w:tcPr>
                  <w:tcW w:w="1657" w:type="dxa"/>
                  <w:tcBorders>
                    <w:tl2br w:val="nil"/>
                    <w:tr2bl w:val="nil"/>
                  </w:tcBorders>
                  <w:noWrap w:val="0"/>
                  <w:vAlign w:val="center"/>
                </w:tcPr>
                <w:p>
                  <w:pPr>
                    <w:pStyle w:val="34"/>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107" w:type="pct"/>
                  <w:tcBorders>
                    <w:tl2br w:val="nil"/>
                    <w:tr2bl w:val="nil"/>
                  </w:tcBorders>
                  <w:noWrap w:val="0"/>
                  <w:vAlign w:val="center"/>
                </w:tcPr>
                <w:p>
                  <w:pPr>
                    <w:pStyle w:val="34"/>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水</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m</w:t>
                  </w:r>
                  <w:r>
                    <w:rPr>
                      <w:rFonts w:hint="eastAsia" w:ascii="Times New Roman" w:hAnsi="Times New Roman" w:cs="Times New Roman"/>
                      <w:szCs w:val="21"/>
                      <w:vertAlign w:val="superscript"/>
                      <w:lang w:val="en-US" w:eastAsia="zh-CN"/>
                    </w:rPr>
                    <w:t>3</w:t>
                  </w:r>
                  <w:r>
                    <w:rPr>
                      <w:rFonts w:hint="eastAsia" w:ascii="Times New Roman" w:hAnsi="Times New Roman" w:cs="Times New Roman"/>
                      <w:szCs w:val="21"/>
                      <w:lang w:val="en-US" w:eastAsia="zh-CN"/>
                    </w:rPr>
                    <w:t>/a</w:t>
                  </w:r>
                </w:p>
              </w:tc>
              <w:tc>
                <w:tcPr>
                  <w:tcW w:w="999" w:type="pct"/>
                  <w:tcBorders>
                    <w:tl2br w:val="nil"/>
                    <w:tr2bl w:val="nil"/>
                  </w:tcBorders>
                  <w:noWrap w:val="0"/>
                  <w:vAlign w:val="center"/>
                </w:tcPr>
                <w:p>
                  <w:pPr>
                    <w:pStyle w:val="34"/>
                    <w:spacing w:line="240" w:lineRule="auto"/>
                    <w:ind w:firstLine="0" w:firstLineChars="0"/>
                    <w:jc w:val="center"/>
                    <w:rPr>
                      <w:rFonts w:hint="default" w:ascii="Times New Roman" w:hAnsi="Times New Roman"/>
                      <w:color w:val="auto"/>
                      <w:sz w:val="21"/>
                      <w:szCs w:val="21"/>
                      <w:lang w:val="en-US"/>
                    </w:rPr>
                  </w:pPr>
                  <w:r>
                    <w:rPr>
                      <w:rFonts w:hint="eastAsia" w:ascii="Times New Roman" w:hAnsi="Times New Roman" w:cs="Times New Roman"/>
                      <w:color w:val="auto"/>
                      <w:sz w:val="21"/>
                      <w:szCs w:val="21"/>
                      <w:lang w:val="en-US" w:eastAsia="zh-CN"/>
                    </w:rPr>
                    <w:t>91983.9</w:t>
                  </w:r>
                </w:p>
              </w:tc>
              <w:tc>
                <w:tcPr>
                  <w:tcW w:w="1657" w:type="dxa"/>
                  <w:tcBorders>
                    <w:tl2br w:val="nil"/>
                    <w:tr2bl w:val="nil"/>
                  </w:tcBorders>
                  <w:noWrap w:val="0"/>
                  <w:vAlign w:val="center"/>
                </w:tcPr>
                <w:p>
                  <w:pPr>
                    <w:pStyle w:val="34"/>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109076.1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107" w:type="pct"/>
                  <w:tcBorders>
                    <w:tl2br w:val="nil"/>
                    <w:tr2bl w:val="nil"/>
                  </w:tcBorders>
                  <w:noWrap w:val="0"/>
                  <w:vAlign w:val="center"/>
                </w:tcPr>
                <w:p>
                  <w:pPr>
                    <w:pStyle w:val="34"/>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电</w:t>
                  </w:r>
                </w:p>
              </w:tc>
              <w:tc>
                <w:tcPr>
                  <w:tcW w:w="8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kWh/a</w:t>
                  </w:r>
                </w:p>
              </w:tc>
              <w:tc>
                <w:tcPr>
                  <w:tcW w:w="999" w:type="pct"/>
                  <w:tcBorders>
                    <w:tl2br w:val="nil"/>
                    <w:tr2bl w:val="nil"/>
                  </w:tcBorders>
                  <w:noWrap w:val="0"/>
                  <w:vAlign w:val="center"/>
                </w:tcPr>
                <w:p>
                  <w:pPr>
                    <w:pStyle w:val="34"/>
                    <w:spacing w:line="240" w:lineRule="auto"/>
                    <w:ind w:firstLine="0" w:firstLineChars="0"/>
                    <w:jc w:val="center"/>
                    <w:rPr>
                      <w:rFonts w:hint="eastAsia"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700</w:t>
                  </w:r>
                  <w:r>
                    <w:rPr>
                      <w:rFonts w:hint="eastAsia" w:ascii="Times New Roman" w:hAnsi="Times New Roman" w:cs="Times New Roman"/>
                      <w:color w:val="auto"/>
                      <w:sz w:val="21"/>
                      <w:szCs w:val="21"/>
                      <w:lang w:val="en-US" w:eastAsia="zh-CN"/>
                    </w:rPr>
                    <w:t>万</w:t>
                  </w:r>
                </w:p>
              </w:tc>
              <w:tc>
                <w:tcPr>
                  <w:tcW w:w="1657" w:type="dxa"/>
                  <w:tcBorders>
                    <w:tl2br w:val="nil"/>
                    <w:tr2bl w:val="nil"/>
                  </w:tcBorders>
                  <w:noWrap w:val="0"/>
                  <w:vAlign w:val="center"/>
                </w:tcPr>
                <w:p>
                  <w:pPr>
                    <w:pStyle w:val="34"/>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700</w:t>
                  </w:r>
                  <w:r>
                    <w:rPr>
                      <w:rFonts w:hint="eastAsia" w:ascii="Times New Roman" w:hAnsi="Times New Roman" w:cs="Times New Roman"/>
                      <w:color w:val="auto"/>
                      <w:sz w:val="21"/>
                      <w:szCs w:val="21"/>
                      <w:lang w:val="en-US" w:eastAsia="zh-CN"/>
                    </w:rPr>
                    <w:t>万</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1974"/>
              <w:gridCol w:w="2190"/>
              <w:gridCol w:w="1708"/>
              <w:gridCol w:w="1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1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olor w:val="auto"/>
                      <w:szCs w:val="21"/>
                    </w:rPr>
                    <w:t>整经机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KB30</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3</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2</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olor w:val="auto"/>
                      <w:szCs w:val="21"/>
                    </w:rPr>
                    <w:t>穿综机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lang w:val="en-US" w:eastAsia="zh-CN"/>
                    </w:rPr>
                    <w:t>/</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8</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3</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olor w:val="auto"/>
                      <w:szCs w:val="21"/>
                    </w:rPr>
                    <w:t>喷水织机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rPr>
                    <w:t>JW61</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w:t>
                  </w:r>
                  <w:r>
                    <w:rPr>
                      <w:rFonts w:hint="eastAsia" w:ascii="Times New Roman" w:hAnsi="Times New Roman"/>
                      <w:color w:val="auto"/>
                      <w:szCs w:val="21"/>
                      <w:lang w:val="en-US" w:eastAsia="zh-CN"/>
                    </w:rPr>
                    <w:t>2</w:t>
                  </w:r>
                  <w:r>
                    <w:rPr>
                      <w:rFonts w:hint="eastAsia" w:ascii="Times New Roman" w:hAnsi="Times New Roman"/>
                      <w:color w:val="auto"/>
                      <w:szCs w:val="21"/>
                    </w:rPr>
                    <w:t>00</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olor w:val="auto"/>
                      <w:szCs w:val="21"/>
                      <w:lang w:val="en-US" w:eastAsia="zh-CN"/>
                    </w:rPr>
                    <w:t>900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4</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olor w:val="auto"/>
                      <w:szCs w:val="21"/>
                    </w:rPr>
                    <w:t>清洗水枪</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熊猫GL-280型</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10</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5</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olor w:val="auto"/>
                      <w:szCs w:val="21"/>
                    </w:rPr>
                    <w:t>卷布机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rPr>
                    <w:t>兄弟牌XD190</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8</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6</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olor w:val="auto"/>
                      <w:szCs w:val="21"/>
                    </w:rPr>
                    <w:t>手电钻</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lang w:val="en-US" w:eastAsia="zh-CN"/>
                    </w:rPr>
                    <w:t>/</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10</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7</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olor w:val="auto"/>
                      <w:szCs w:val="21"/>
                    </w:rPr>
                    <w:t>大卷验布机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lang w:val="en-US" w:eastAsia="zh-CN"/>
                    </w:rPr>
                    <w:t>/</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8</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8</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olor w:val="auto"/>
                      <w:szCs w:val="21"/>
                    </w:rPr>
                    <w:t>污水处理站</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olor w:val="auto"/>
                      <w:szCs w:val="21"/>
                    </w:rPr>
                    <w:t>处理规模</w:t>
                  </w:r>
                  <w:r>
                    <w:rPr>
                      <w:rFonts w:hint="eastAsia" w:ascii="Times New Roman" w:hAnsi="Times New Roman"/>
                      <w:color w:val="auto"/>
                      <w:szCs w:val="21"/>
                      <w:lang w:eastAsia="zh-CN"/>
                    </w:rPr>
                    <w:t>3300</w:t>
                  </w:r>
                  <w:r>
                    <w:rPr>
                      <w:rFonts w:hint="eastAsia" w:ascii="Times New Roman" w:hAnsi="Times New Roman"/>
                      <w:color w:val="auto"/>
                      <w:szCs w:val="21"/>
                    </w:rPr>
                    <w:t>m</w:t>
                  </w:r>
                  <w:r>
                    <w:rPr>
                      <w:rFonts w:hint="eastAsia" w:ascii="Times New Roman" w:hAnsi="Times New Roman"/>
                      <w:color w:val="auto"/>
                      <w:szCs w:val="21"/>
                      <w:vertAlign w:val="superscript"/>
                    </w:rPr>
                    <w:t>3</w:t>
                  </w:r>
                  <w:r>
                    <w:rPr>
                      <w:rFonts w:hint="eastAsia" w:ascii="Times New Roman" w:hAnsi="Times New Roman"/>
                      <w:color w:val="auto"/>
                      <w:szCs w:val="21"/>
                    </w:rPr>
                    <w:t>/d</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auto"/>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9</w:t>
                  </w:r>
                </w:p>
              </w:tc>
              <w:tc>
                <w:tcPr>
                  <w:tcW w:w="1974" w:type="dxa"/>
                  <w:tcBorders>
                    <w:tl2br w:val="nil"/>
                    <w:tr2bl w:val="nil"/>
                  </w:tcBorders>
                  <w:noWrap w:val="0"/>
                  <w:vAlign w:val="center"/>
                </w:tcPr>
                <w:p>
                  <w:pPr>
                    <w:adjustRightInd w:val="0"/>
                    <w:snapToGrid w:val="0"/>
                    <w:ind w:right="40" w:rightChars="0"/>
                    <w:jc w:val="center"/>
                    <w:rPr>
                      <w:rFonts w:hint="default" w:ascii="Times New Roman" w:hAnsi="Times New Roman" w:cs="Times New Roman"/>
                      <w:color w:val="auto"/>
                    </w:rPr>
                  </w:pPr>
                  <w:r>
                    <w:rPr>
                      <w:rFonts w:hint="eastAsia" w:ascii="Times New Roman" w:hAnsi="Times New Roman"/>
                      <w:color w:val="auto"/>
                      <w:szCs w:val="21"/>
                    </w:rPr>
                    <w:t>空压机</w:t>
                  </w:r>
                </w:p>
              </w:tc>
              <w:tc>
                <w:tcPr>
                  <w:tcW w:w="2190" w:type="dxa"/>
                  <w:tcBorders>
                    <w:tl2br w:val="nil"/>
                    <w:tr2bl w:val="nil"/>
                  </w:tcBorders>
                  <w:noWrap w:val="0"/>
                  <w:vAlign w:val="center"/>
                </w:tcPr>
                <w:p>
                  <w:pPr>
                    <w:adjustRightInd w:val="0"/>
                    <w:snapToGrid w:val="0"/>
                    <w:ind w:right="40" w:right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olor w:val="auto"/>
                      <w:szCs w:val="21"/>
                      <w:lang w:val="en-US" w:eastAsia="zh-CN"/>
                    </w:rPr>
                    <w:t>/</w:t>
                  </w:r>
                </w:p>
              </w:tc>
              <w:tc>
                <w:tcPr>
                  <w:tcW w:w="1708" w:type="dxa"/>
                  <w:tcBorders>
                    <w:tl2br w:val="nil"/>
                    <w:tr2bl w:val="nil"/>
                  </w:tcBorders>
                  <w:noWrap w:val="0"/>
                  <w:vAlign w:val="center"/>
                </w:tcPr>
                <w:p>
                  <w:pPr>
                    <w:adjustRightInd w:val="0"/>
                    <w:snapToGrid w:val="0"/>
                    <w:ind w:right="40" w:rightChars="0"/>
                    <w:jc w:val="center"/>
                    <w:rPr>
                      <w:rFonts w:hint="default" w:ascii="Times New Roman" w:hAnsi="Times New Roman" w:cs="Times New Roman"/>
                      <w:color w:val="auto"/>
                    </w:rPr>
                  </w:pPr>
                  <w:r>
                    <w:rPr>
                      <w:rFonts w:hint="eastAsia" w:ascii="Times New Roman" w:hAnsi="Times New Roman"/>
                      <w:color w:val="auto"/>
                      <w:szCs w:val="21"/>
                    </w:rPr>
                    <w:t>1</w:t>
                  </w:r>
                </w:p>
              </w:tc>
              <w:tc>
                <w:tcPr>
                  <w:tcW w:w="1675" w:type="dxa"/>
                  <w:tcBorders>
                    <w:tl2br w:val="nil"/>
                    <w:tr2bl w:val="nil"/>
                  </w:tcBorders>
                  <w:noWrap w:val="0"/>
                  <w:vAlign w:val="center"/>
                </w:tcPr>
                <w:p>
                  <w:pPr>
                    <w:adjustRightInd w:val="0"/>
                    <w:snapToGrid w:val="0"/>
                    <w:ind w:right="40" w:rightChars="0"/>
                    <w:jc w:val="center"/>
                    <w:rPr>
                      <w:rFonts w:hint="default" w:ascii="Times New Roman" w:hAnsi="Times New Roman" w:cs="Times New Roman" w:eastAsiaTheme="minorEastAsia"/>
                      <w:color w:val="auto"/>
                      <w:lang w:val="en-US" w:eastAsia="zh-CN"/>
                    </w:rPr>
                  </w:pPr>
                  <w:r>
                    <w:rPr>
                      <w:rFonts w:hint="eastAsia" w:ascii="Times New Roman" w:hAnsi="Times New Roman"/>
                      <w:color w:val="auto"/>
                      <w:szCs w:val="21"/>
                    </w:rPr>
                    <w:t>1</w:t>
                  </w:r>
                </w:p>
              </w:tc>
            </w:tr>
          </w:tbl>
          <w:p>
            <w:pPr>
              <w:pStyle w:val="8"/>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37" w:hRule="atLeast"/>
          <w:jc w:val="center"/>
        </w:trPr>
        <w:tc>
          <w:tcPr>
            <w:tcW w:w="5000" w:type="pct"/>
            <w:tcBorders>
              <w:tl2br w:val="nil"/>
              <w:tr2bl w:val="nil"/>
            </w:tcBorders>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4"/>
              <w:tblW w:w="83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738"/>
              <w:gridCol w:w="1712"/>
              <w:gridCol w:w="2138"/>
              <w:gridCol w:w="20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738"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712" w:type="dxa"/>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规格</w:t>
                  </w:r>
                </w:p>
              </w:tc>
              <w:tc>
                <w:tcPr>
                  <w:tcW w:w="2138" w:type="dxa"/>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1</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kern w:val="0"/>
                      <w:szCs w:val="21"/>
                    </w:rPr>
                  </w:pPr>
                  <w:r>
                    <w:rPr>
                      <w:rFonts w:hint="eastAsia" w:ascii="Times New Roman" w:hAnsi="Times New Roman"/>
                      <w:color w:val="auto"/>
                    </w:rPr>
                    <w:t>坯布</w:t>
                  </w:r>
                </w:p>
              </w:tc>
              <w:tc>
                <w:tcPr>
                  <w:tcW w:w="1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2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1亿米/年</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szCs w:val="21"/>
                      <w:lang w:val="en-US" w:eastAsia="zh-CN"/>
                    </w:rPr>
                    <w:t>1亿米/年</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360" w:lineRule="auto"/>
              <w:ind w:firstLine="480" w:firstLineChars="200"/>
              <w:jc w:val="left"/>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szCs w:val="24"/>
                <w:lang w:eastAsia="zh-CN"/>
              </w:rPr>
              <w:t>厂区内实行雨污分流，生活污水经化粪池预处理后排入园区市政污水管网，最终排入汪溪殷白拓展区污水处理站进行处理，处理达标后最终排入水阳江。生产废水经自建的污水处理站处理后回用于生产，生产废水不外排</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eastAsia="zh-CN"/>
              </w:rPr>
              <w:t>本项目水平衡见下图。</w:t>
            </w:r>
          </w:p>
          <w:p>
            <w:pPr>
              <w:adjustRightInd w:val="0"/>
              <w:snapToGrid w:val="0"/>
              <w:spacing w:line="360" w:lineRule="auto"/>
              <w:ind w:firstLine="480" w:firstLineChars="200"/>
              <w:jc w:val="center"/>
              <w:rPr>
                <w:rFonts w:hint="default" w:ascii="Times New Roman" w:hAnsi="Times New Roman" w:cs="Times New Roman"/>
                <w:bCs/>
                <w:sz w:val="24"/>
              </w:rPr>
            </w:pPr>
            <w:r>
              <w:rPr>
                <w:rFonts w:hint="default" w:ascii="Times New Roman" w:hAnsi="Times New Roman" w:cs="Times New Roman"/>
                <w:bCs/>
                <w:sz w:val="24"/>
              </w:rPr>
              <w:drawing>
                <wp:inline distT="0" distB="0" distL="114300" distR="114300">
                  <wp:extent cx="4659630" cy="4605655"/>
                  <wp:effectExtent l="0" t="0" r="7620" b="4445"/>
                  <wp:docPr id="16" name="图片 16" descr="E:\福华\福华纺织完整12.23\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福华\福华纺织完整12.23\图片3.png图片3"/>
                          <pic:cNvPicPr>
                            <a:picLocks noChangeAspect="1"/>
                          </pic:cNvPicPr>
                        </pic:nvPicPr>
                        <pic:blipFill>
                          <a:blip r:embed="rId6"/>
                          <a:srcRect/>
                          <a:stretch>
                            <a:fillRect/>
                          </a:stretch>
                        </pic:blipFill>
                        <pic:spPr>
                          <a:xfrm>
                            <a:off x="0" y="0"/>
                            <a:ext cx="4659630" cy="4605655"/>
                          </a:xfrm>
                          <a:prstGeom prst="rect">
                            <a:avLst/>
                          </a:prstGeom>
                        </pic:spPr>
                      </pic:pic>
                    </a:graphicData>
                  </a:graphic>
                </wp:inline>
              </w:drawing>
            </w:r>
          </w:p>
          <w:p>
            <w:pPr>
              <w:adjustRightInd w:val="0"/>
              <w:snapToGrid w:val="0"/>
              <w:spacing w:line="360" w:lineRule="auto"/>
              <w:ind w:firstLine="422" w:firstLineChars="200"/>
              <w:jc w:val="center"/>
              <w:rPr>
                <w:rFonts w:hint="default" w:ascii="Times New Roman" w:hAnsi="Times New Roman" w:cs="Times New Roman" w:eastAsiaTheme="minorEastAsia"/>
                <w:b/>
                <w:bCs w:val="0"/>
                <w:sz w:val="21"/>
                <w:szCs w:val="21"/>
                <w:lang w:val="en-US" w:eastAsia="zh-CN"/>
              </w:rPr>
            </w:pPr>
            <w:r>
              <w:rPr>
                <w:rFonts w:hint="eastAsia"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4-1 项目水平衡图 单位m</w:t>
            </w:r>
            <w:r>
              <w:rPr>
                <w:rFonts w:hint="eastAsia" w:ascii="Times New Roman" w:hAnsi="Times New Roman" w:cs="Times New Roman"/>
                <w:b/>
                <w:bCs w:val="0"/>
                <w:sz w:val="21"/>
                <w:szCs w:val="21"/>
                <w:vertAlign w:val="superscript"/>
                <w:lang w:val="en-US" w:eastAsia="zh-CN"/>
              </w:rPr>
              <w:t>3</w:t>
            </w:r>
            <w:r>
              <w:rPr>
                <w:rFonts w:hint="eastAsia" w:ascii="Times New Roman" w:hAnsi="Times New Roman" w:cs="Times New Roman"/>
                <w:b/>
                <w:bCs w:val="0"/>
                <w:sz w:val="21"/>
                <w:szCs w:val="21"/>
                <w:lang w:val="en-US" w:eastAsia="zh-CN"/>
              </w:rPr>
              <w:t>/d</w:t>
            </w:r>
          </w:p>
          <w:p>
            <w:pPr>
              <w:spacing w:before="62" w:beforeLines="20" w:line="360" w:lineRule="auto"/>
              <w:jc w:val="both"/>
              <w:rPr>
                <w:rFonts w:hint="default" w:ascii="Times New Roman" w:hAnsi="Times New Roman" w:eastAsia="宋体" w:cs="Times New Roman"/>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color w:val="auto"/>
                <w:sz w:val="24"/>
                <w:szCs w:val="24"/>
                <w:lang w:val="en-US" w:eastAsia="zh-CN"/>
              </w:rPr>
              <w:t>本项目</w:t>
            </w:r>
            <w:r>
              <w:rPr>
                <w:rFonts w:hint="default" w:ascii="Times New Roman" w:hAnsi="Times New Roman" w:eastAsia="宋体" w:cs="Times New Roman"/>
                <w:sz w:val="24"/>
                <w:szCs w:val="24"/>
              </w:rPr>
              <w:t>工艺流程如下图所示：</w:t>
            </w:r>
          </w:p>
          <w:p>
            <w:pPr>
              <w:adjustRightInd w:val="0"/>
              <w:snapToGrid w:val="0"/>
              <w:jc w:val="center"/>
              <w:rPr>
                <w:rFonts w:hint="default" w:ascii="Times New Roman" w:hAnsi="Times New Roman" w:eastAsia="宋体" w:cs="Times New Roman"/>
                <w:lang w:eastAsia="zh-CN"/>
              </w:rPr>
            </w:pPr>
            <w:r>
              <w:drawing>
                <wp:inline distT="0" distB="0" distL="114300" distR="114300">
                  <wp:extent cx="4171950" cy="4022725"/>
                  <wp:effectExtent l="0" t="0" r="0" b="15875"/>
                  <wp:docPr id="8" name="图片 2" descr="E:\福华\福华纺织完整12.23\图1111.png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E:\福华\福华纺织完整12.23\图1111.png图1111"/>
                          <pic:cNvPicPr>
                            <a:picLocks noChangeAspect="1"/>
                          </pic:cNvPicPr>
                        </pic:nvPicPr>
                        <pic:blipFill>
                          <a:blip r:embed="rId7"/>
                          <a:srcRect/>
                          <a:stretch>
                            <a:fillRect/>
                          </a:stretch>
                        </pic:blipFill>
                        <pic:spPr>
                          <a:xfrm>
                            <a:off x="0" y="0"/>
                            <a:ext cx="4171950" cy="402272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 xml:space="preserve">-1 </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（1）整经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整经</w:t>
            </w:r>
            <w:r>
              <w:rPr>
                <w:rFonts w:hint="eastAsia" w:ascii="Times New Roman" w:hAnsi="Times New Roman" w:cs="Times New Roman"/>
                <w:color w:val="auto"/>
                <w:sz w:val="24"/>
                <w:szCs w:val="24"/>
                <w:lang w:eastAsia="zh-CN"/>
              </w:rPr>
              <w:t>工序外协，原料经外地工厂整经、上浆、烘干完成后运往公司进行下一步工序。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（2）穿综扒扣、</w:t>
            </w:r>
            <w:r>
              <w:rPr>
                <w:rFonts w:hint="eastAsia" w:ascii="Times New Roman" w:hAnsi="Times New Roman" w:cs="Times New Roman"/>
                <w:color w:val="auto"/>
                <w:sz w:val="24"/>
                <w:szCs w:val="24"/>
                <w:lang w:eastAsia="zh-CN"/>
              </w:rPr>
              <w:t>喷水</w:t>
            </w:r>
            <w:r>
              <w:rPr>
                <w:rFonts w:hint="default" w:ascii="Times New Roman" w:hAnsi="Times New Roman" w:cs="Times New Roman"/>
                <w:color w:val="auto"/>
                <w:sz w:val="24"/>
                <w:szCs w:val="24"/>
                <w:lang w:eastAsia="zh-CN"/>
              </w:rPr>
              <w:t>织造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经轴和纬纱筒安装到喷水织机上，通过穿综机穿综固定经纱的位置，利用高压水的喷射动力将纬纱喷射到经纱之间，通过织布机综片运动和扣板运动，使纬纱和经纱交织在一起并形成布，本项目喷水织机自带绞边功能，使边线整齐并达宽度要求。此工序产生的废水经厂区废水处理设施处理后回用，不外排。本工序产生噪声、废涤纶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（3）检验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sz w:val="24"/>
                <w:szCs w:val="24"/>
                <w:lang w:eastAsia="zh-CN"/>
              </w:rPr>
              <w:t>织造后，需对产品进行检验，检验合格的打卷包装入库。本工序会产生噪声和少量不合格品。</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9504" behindDoc="0" locked="0" layoutInCell="1" allowOverlap="1">
            <wp:simplePos x="0" y="0"/>
            <wp:positionH relativeFrom="column">
              <wp:posOffset>7494905</wp:posOffset>
            </wp:positionH>
            <wp:positionV relativeFrom="paragraph">
              <wp:posOffset>74930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8"/>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3997325</wp:posOffset>
                </wp:positionH>
                <wp:positionV relativeFrom="paragraph">
                  <wp:posOffset>1979295</wp:posOffset>
                </wp:positionV>
                <wp:extent cx="1009015" cy="914400"/>
                <wp:effectExtent l="0" t="0" r="0" b="0"/>
                <wp:wrapNone/>
                <wp:docPr id="18" name="文本框 18"/>
                <wp:cNvGraphicFramePr/>
                <a:graphic xmlns:a="http://schemas.openxmlformats.org/drawingml/2006/main">
                  <a:graphicData uri="http://schemas.microsoft.com/office/word/2010/wordprocessingShape">
                    <wps:wsp>
                      <wps:cNvSpPr txBox="1"/>
                      <wps:spPr>
                        <a:xfrm>
                          <a:off x="5227320" y="2933065"/>
                          <a:ext cx="100901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75pt;margin-top:155.85pt;height:72pt;width:79.45pt;z-index:251671552;mso-width-relative:page;mso-height-relative:page;" filled="f" stroked="f" coordsize="21600,21600" o:gfxdata="UEsDBAoAAAAAAIdO4kAAAAAAAAAAAAAAAAAEAAAAZHJzL1BLAwQUAAAACACHTuJAGDmpXd0AAAAL&#10;AQAADwAAAGRycy9kb3ducmV2LnhtbE2Py07DMBBF90j8gzVI7KiT0DRpGqdCkSokRBct3bCbxG4S&#10;YY9D7D7g6zErWI7u0b1nyvXVaHZWkxssCYhnETBFrZUDdQIOb5uHHJjzSBK1JSXgSzlYV7c3JRbS&#10;XminznvfsVBCrkABvfdjwblre2XQzeyoKGRHOxn04Zw6Lie8hHKjeRJFC25woLDQ46jqXrUf+5MR&#10;8FJvtrhrEpN/6/r59fg0fh7eUyHu7+JoBcyrq/+D4Vc/qEMVnBp7IumYFrBIlmlABTzGcQYsEFme&#10;z4E1AuZpmgGvSv7/h+oHUEsDBBQAAAAIAIdO4kAmDfwgRwIAAHQEAAAOAAAAZHJzL2Uyb0RvYy54&#10;bWytVMFu1DAQvSPxD5bvNNndbqGrZqulVRFSRSsVxNnrOE0k22Nsb5PyAfAHnLhw57v6HTw7u21V&#10;OPTAxRl7xm/83szk6Hgwmt0oHzqyFZ/slZwpK6nu7HXFP308e/WGsxCFrYUmqyp+qwI/Xr58cdS7&#10;hZpSS7pWngHEhkXvKt7G6BZFEWSrjAh75JSFsyFvRMTWXxe1Fz3QjS6mZXlQ9ORr50mqEHB6Ojr5&#10;FtE/B5CappPqlOTGKBtHVK+0iKAU2s4FvsyvbRol40XTBBWZrjiYxrwiCex1WovlkVhce+HaTm6f&#10;IJ7zhCecjOgskt5DnYoo2MZ3f0GZTnoK1MQ9SaYYiWRFwGJSPtHmqhVOZS6QOrh70cP/g5Ufbi49&#10;62p0AupuhUHF7358v/v5++7XN4YzCNS7sEDclUNkHN7SgODdecBh4j003qQvGDH459Pp69kUIt9W&#10;fHo4m5UH81FqNUQmE0BZHpaTOWcSEYeT/f0y16J4QHI+xHeKDEtGxT1KmRUWN+ch4lUI3YWkxJbO&#10;Oq1zObVlfcUPZvMyX7j34Ia2uJj4jO9OVhzWw5bkmupbcPQ0tklw8qxD8nMR4qXw6AsQwuTECyyN&#10;JiShrcVZS/7rv85TPMoFL2c9+qzi4ctGeMWZfm9RyMwdjZk3+/PXSTT/2LN+7LEbc0Jo5Qlm1Mls&#10;pviod2bjyXzGgK1SVriElchd8bgzT+LY/RhQqVarHIRWdCKe2ysnE/Qo52oTqemy0kmmUZutemjG&#10;XIDt4KRuf7zPUQ8/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DmpXd0AAAALAQAADwAAAAAA&#10;AAABACAAAAAiAAAAZHJzL2Rvd25yZXYueG1sUEsBAhQAFAAAAAgAh07iQCYN/CBHAgAAdAQAAA4A&#10;AAAAAAAAAQAgAAAALAEAAGRycy9lMm9Eb2MueG1sUEsFBgAAAAAGAAYAWQEAAOUFA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3585210</wp:posOffset>
                </wp:positionH>
                <wp:positionV relativeFrom="paragraph">
                  <wp:posOffset>4272915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3pt;margin-top:336.45pt;height:23.75pt;width:149.3pt;z-index:251659264;mso-width-relative:page;mso-height-relative:page;" fillcolor="#FFFFFF [3201]" filled="t" stroked="t" coordsize="21600,21600" o:gfxdata="UEsDBAoAAAAAAIdO4kAAAAAAAAAAAAAAAAAEAAAAZHJzL1BLAwQUAAAACACHTuJAnNsEDt0AAAAL&#10;AQAADwAAAGRycy9kb3ducmV2LnhtbE2PTUsDMRRF94L/ITzBnU0ax7SOk+nCIlURpB8I7tLJMxmc&#10;JMMkbUd/vXGly8c93HtetRhdR444xDZ4CdMJA4K+Cbr1RsJu+3A1BxKT8lp1waOEL4ywqM/PKlXq&#10;cPJrPG6SIbnEx1JJsCn1JaWxsehUnIQefc4+wuBUyudgqB7UKZe7jnLGBHWq9XnBqh7vLTafm4OT&#10;8PhEzerteSxe7PeKv6/TEs3rUsrLiym7A5JwTH8w/Opndaiz0z4cvI6kk3AjCpFRCWLGb4FkYi6u&#10;OZC9hBlnBdC6ov9/qH8A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c2wQO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3898265</wp:posOffset>
                </wp:positionH>
                <wp:positionV relativeFrom="paragraph">
                  <wp:posOffset>1833880</wp:posOffset>
                </wp:positionV>
                <wp:extent cx="911225" cy="664210"/>
                <wp:effectExtent l="64770" t="100965" r="71755" b="111125"/>
                <wp:wrapNone/>
                <wp:docPr id="17" name="圆角矩形 17"/>
                <wp:cNvGraphicFramePr/>
                <a:graphic xmlns:a="http://schemas.openxmlformats.org/drawingml/2006/main">
                  <a:graphicData uri="http://schemas.microsoft.com/office/word/2010/wordprocessingShape">
                    <wps:wsp>
                      <wps:cNvSpPr/>
                      <wps:spPr>
                        <a:xfrm rot="900000">
                          <a:off x="5076190" y="2719070"/>
                          <a:ext cx="911225" cy="664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6.95pt;margin-top:144.4pt;height:52.3pt;width:71.75pt;rotation:983040f;z-index:251670528;v-text-anchor:middle;mso-width-relative:page;mso-height-relative:page;" filled="f" stroked="t" coordsize="21600,21600" arcsize="0.166666666666667" o:gfxdata="UEsDBAoAAAAAAIdO4kAAAAAAAAAAAAAAAAAEAAAAZHJzL1BLAwQUAAAACACHTuJATtl5GtsAAAAL&#10;AQAADwAAAGRycy9kb3ducmV2LnhtbE2Py07DMBBF90j8gzVI7KjzKGkaMukCqd1UQqKwYefEQxIR&#10;2yF205avZ1jR5WiO7j233JzNIGaafO8sQryIQJBtnO5ti/D+tn3IQfigrFaDs4RwIQ+b6vamVIV2&#10;J/tK8yG0gkOsLxRCF8JYSOmbjozyCzeS5d+nm4wKfE6t1JM6cbgZZBJFmTSqt9zQqZGeO2q+DkeD&#10;sJvjsP9Ifrp5/0Lf26zWl12vEe/v4ugJRKBz+IfhT5/VoWKn2h2t9mJAyOJ0zShCkue8gYnV42oJ&#10;okZI1+kSZFXK6w3VL1BLAwQUAAAACACHTuJAvH+iQ44CAADwBAAADgAAAGRycy9lMm9Eb2MueG1s&#10;rVTNbhMxEL4j8Q6W73SzS5o0UTdV1CgIqaIVBXF2vN7sSv7Ddn7KA/AAnJGQuCAegsep4DH47N3+&#10;UDj0wB6sGc/4m5lvZvb4ZK8k2QrnW6NLmh8MKBGam6rV65K+fbN8dkSJD0xXTBotSnolPD2ZPX1y&#10;vLNTUZjGyEo4AhDtpztb0iYEO80yzxuhmD8wVmgYa+MUC1DdOqsc2wFdyawYDEbZzrjKOsOF97hd&#10;dEbaI7rHAJq6brlYGL5RQocO1QnJAkryTWs9naVs61rwcF7XXgQiS4pKQzoRBPIqntnsmE3Xjtmm&#10;5X0K7DEpPKhJsVYj6C3UggVGNq79C0q13Blv6nDAjcq6QhIjqCIfPODmsmFWpFpAtbe3pPv/B8tf&#10;bS8caStMwpgSzRQ6fv35469vn35++X794yvBNTjaWT+F66W9cL3mIcaC97VTxBkQOxnEL7GAusi+&#10;pIeD8SifgOqrkhZjSOOecLEPhMNhkudFcUgJh8NoNCzyZM861IhunQ8vhFEkCiV1ZqOr12hqisK2&#10;Zz4gHfjf+MU32ixbKVNjpSa7kj4/ypEX4QzTWmNKICqLir1eU8LkGmvAg0uQ3si2is8jkHfr1al0&#10;ZMswPMtlqq4L94dbjL1gvun8kqkbK9UGbIpsVUmPOm6611Ij58hox2GUVqa6Qh8Sj0jVW75sAXvG&#10;fLhgDhOJS+xsOMdRS4OiTC9R0hj34V/30R+DAislO0w4Cn6/YU5QIl9qjNAkHw4BG5IyPBwXUNx9&#10;y+q+RW/UqQEPecouidE/yBuxdka9w2rPY1SYmOaI3VHbK6eh2zz8HLiYz5Mb1sCycKYvLY/gXQPn&#10;m2DqNvX2jp2eNCxCanm/tHHT7uvJ6+5HNf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tl5GtsA&#10;AAALAQAADwAAAAAAAAABACAAAAAiAAAAZHJzL2Rvd25yZXYueG1sUEsBAhQAFAAAAAgAh07iQLx/&#10;okOOAgAA8AQAAA4AAAAAAAAAAQAgAAAAKgEAAGRycy9lMm9Eb2MueG1sUEsFBgAAAAAGAAYAWQEA&#10;ACoGAAAAAA==&#10;">
                <v:fill on="f" focussize="0,0"/>
                <v:stroke weight="3pt" color="#FF0000 [3204]" miterlimit="8" joinstyle="miter"/>
                <v:imagedata o:title=""/>
                <o:lock v:ext="edit" aspectratio="f"/>
              </v:roundrect>
            </w:pict>
          </mc:Fallback>
        </mc:AlternateContent>
      </w:r>
      <w:r>
        <w:rPr>
          <w:rFonts w:hint="eastAsia" w:eastAsia="宋体"/>
          <w:lang w:eastAsia="zh-CN"/>
        </w:rPr>
        <w:drawing>
          <wp:inline distT="0" distB="0" distL="114300" distR="114300">
            <wp:extent cx="8375015" cy="4025265"/>
            <wp:effectExtent l="0" t="0" r="6985" b="13335"/>
            <wp:docPr id="13" name="图片 3" descr="E:\福华\福华纺织完整12.23\fuhua.pngfu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E:\福华\福华纺织完整12.23\fuhua.pngfuhua"/>
                    <pic:cNvPicPr>
                      <a:picLocks noChangeAspect="1"/>
                    </pic:cNvPicPr>
                  </pic:nvPicPr>
                  <pic:blipFill>
                    <a:blip r:embed="rId9"/>
                    <a:srcRect/>
                    <a:stretch>
                      <a:fillRect/>
                    </a:stretch>
                  </pic:blipFill>
                  <pic:spPr>
                    <a:xfrm>
                      <a:off x="0" y="0"/>
                      <a:ext cx="8375015" cy="4025265"/>
                    </a:xfrm>
                    <a:prstGeom prst="rect">
                      <a:avLst/>
                    </a:prstGeom>
                    <a:noFill/>
                    <a:ln>
                      <a:noFill/>
                    </a:ln>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3371850</wp:posOffset>
                </wp:positionH>
                <wp:positionV relativeFrom="paragraph">
                  <wp:posOffset>5067935</wp:posOffset>
                </wp:positionV>
                <wp:extent cx="2222500" cy="301625"/>
                <wp:effectExtent l="4445" t="4445" r="20955" b="17780"/>
                <wp:wrapNone/>
                <wp:docPr id="26" name="文本框 26"/>
                <wp:cNvGraphicFramePr/>
                <a:graphic xmlns:a="http://schemas.openxmlformats.org/drawingml/2006/main">
                  <a:graphicData uri="http://schemas.microsoft.com/office/word/2010/wordprocessingShape">
                    <wps:wsp>
                      <wps:cNvSpPr txBox="1"/>
                      <wps:spPr>
                        <a:xfrm>
                          <a:off x="0" y="0"/>
                          <a:ext cx="222250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平面布置及雨污管网图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399.05pt;height:23.75pt;width:175pt;z-index:251668480;mso-width-relative:page;mso-height-relative:page;" fillcolor="#FFFFFF [3201]" filled="t" stroked="t" coordsize="21600,21600" o:gfxdata="UEsDBAoAAAAAAIdO4kAAAAAAAAAAAAAAAAAEAAAAZHJzL1BLAwQUAAAACACHTuJAlnzsad0AAAAL&#10;AQAADwAAAGRycy9kb3ducmV2LnhtbE2PzU7DMBCE70i8g7VI3KiT0pYQ4vRAhQoVEuqPkLi58RJH&#10;xOsodtvA07M9wW13ZzT7TTEfXCuO2IfGk4J0lIBAqrxpqFaw2z7dZCBC1GR06wkVfGOAeXl5Uejc&#10;+BOt8biJteAQCrlWYGPscilDZdHpMPIdEmufvnc68trX0vT6xOGuleMkmUmnG+IPVnf4aLH62hyc&#10;gucXWS/fV8Pk1f4sxx/ruMD6baHU9VWaPICIOMQ/M5zxGR1KZtr7A5kgWgXT25S7RAV391kKgh1Z&#10;dr7seZhMZyDLQv7vUP4CUEsDBBQAAAAIAIdO4kCBWaciYwIAANcEAAAOAAAAZHJzL2Uyb0RvYy54&#10;bWytVMFuEzEQvSPxD5bvdDdpEyDqpgqtgpAqWqkgzo7Xm7XktY3tZLd8APxBT1y48139Dp69mzQt&#10;HHpgD8543uTNzPPYp2ddo8hWOC+NLujoKKdEaG5KqdcF/fxp+eoNJT4wXTJltCjorfD0bP7yxWlr&#10;Z2JsaqNK4QhItJ+1tqB1CHaWZZ7XomH+yFihAVbGNSxg69ZZ6VgL9kZl4zyfZq1xpXWGC+/hvehB&#10;OjC65xCaqpJcXBi+aYQOPasTigW05GtpPZ2naqtK8HBVVV4EogqKTkNakQT2Kq7Z/JTN1o7ZWvKh&#10;BPacEp701DCpkXRPdcECIxsn/6JqJHfGmyoccdNkfSNJEXQxyp9oc1MzK1IvkNrbvej+/9Hyj9tr&#10;R2RZ0PGUEs0anPj93Y/7n7/vf30n8EGg1voZ4m4sIkP3znQYm53fwxn77irXxF90RIBD3tu9vKIL&#10;hMM5xjfJAXFgx/loOp5Emuzh39b58F6YhkSjoA7Hl1Rl20sf+tBdSEzmjZLlUiqVNm69OleObBmO&#10;epm+gf1RmNKkLej0eJIn5keYP6TI09enV7ZmPXGaGFQ8hKbqDziAKA1nlKyXJlqhW3WDjitT3kJG&#10;Z/pJ9JYvJXq9ZD5cM4fRgzy4nOEKS6UMSjWDRUlt3Ld/+WM8JgIoJS1GuaD+64Y5QYn6oDErb0cn&#10;J6ANaXMyeT3Gxh0iq0NEb5pzAwlHeAYsT2aMD2pnVs40X3CHFzErIKY5chc07Mzz0F8wvAFcLBYp&#10;CNNuWbjUN5ZH6nhg2iw2wVQyHWyUqddmUA/znsQd7ma8UIf7FPXwHs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Z87GndAAAACwEAAA8AAAAAAAAAAQAgAAAAIgAAAGRycy9kb3ducmV2LnhtbFBL&#10;AQIUABQAAAAIAIdO4kCBWaciYwIAANcEAAAOAAAAAAAAAAEAIAAAACw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平面布置及雨污管网图</w:t>
                      </w:r>
                    </w:p>
                    <w:p/>
                  </w:txbxContent>
                </v:textbox>
              </v:shape>
            </w:pict>
          </mc:Fallback>
        </mc:AlternateContent>
      </w:r>
      <w:r>
        <w:rPr>
          <w:rFonts w:hint="eastAsia" w:eastAsiaTheme="minorEastAsia"/>
          <w:lang w:eastAsia="zh-CN"/>
        </w:rPr>
        <w:drawing>
          <wp:inline distT="0" distB="0" distL="114300" distR="114300">
            <wp:extent cx="8023225" cy="5547995"/>
            <wp:effectExtent l="0" t="0" r="15875" b="14605"/>
            <wp:docPr id="15" name="图片 15"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平面布置图"/>
                    <pic:cNvPicPr>
                      <a:picLocks noChangeAspect="1"/>
                    </pic:cNvPicPr>
                  </pic:nvPicPr>
                  <pic:blipFill>
                    <a:blip r:embed="rId10"/>
                    <a:stretch>
                      <a:fillRect/>
                    </a:stretch>
                  </pic:blipFill>
                  <pic:spPr>
                    <a:xfrm>
                      <a:off x="0" y="0"/>
                      <a:ext cx="8023225" cy="5547995"/>
                    </a:xfrm>
                    <a:prstGeom prst="rect">
                      <a:avLst/>
                    </a:prstGeom>
                  </pic:spPr>
                </pic:pic>
              </a:graphicData>
            </a:graphic>
          </wp:inline>
        </w:drawing>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本项目用水由市政给水管网供给，营运期项目用水主要为设备清洗用水、地面保洁用水、喷水织机生产用水、职工生活用水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生活污水经</w:t>
            </w:r>
            <w:r>
              <w:rPr>
                <w:rFonts w:hint="eastAsia" w:ascii="Times New Roman" w:hAnsi="Times New Roman" w:cs="Times New Roman"/>
                <w:color w:val="auto"/>
                <w:sz w:val="24"/>
                <w:szCs w:val="24"/>
                <w:lang w:eastAsia="zh-CN"/>
              </w:rPr>
              <w:t>化粪池</w:t>
            </w:r>
            <w:r>
              <w:rPr>
                <w:rFonts w:hint="default" w:ascii="Times New Roman" w:hAnsi="Times New Roman" w:cs="Times New Roman"/>
                <w:color w:val="auto"/>
                <w:sz w:val="24"/>
                <w:szCs w:val="24"/>
              </w:rPr>
              <w:t>处理达标后排入</w:t>
            </w:r>
            <w:r>
              <w:rPr>
                <w:rFonts w:hint="eastAsia" w:ascii="Times New Roman" w:hAnsi="Times New Roman" w:cs="Times New Roman"/>
                <w:color w:val="auto"/>
                <w:sz w:val="24"/>
                <w:szCs w:val="24"/>
                <w:lang w:eastAsia="zh-CN"/>
              </w:rPr>
              <w:t>汪溪殷白拓展区污水处理站</w:t>
            </w:r>
            <w:r>
              <w:rPr>
                <w:rFonts w:hint="default" w:ascii="Times New Roman" w:hAnsi="Times New Roman" w:cs="Times New Roman"/>
                <w:color w:val="auto"/>
                <w:sz w:val="24"/>
                <w:szCs w:val="24"/>
              </w:rPr>
              <w:t>，处理达标后尾水排入</w:t>
            </w:r>
            <w:r>
              <w:rPr>
                <w:rFonts w:hint="eastAsia" w:ascii="Times New Roman" w:hAnsi="Times New Roman" w:cs="Times New Roman"/>
                <w:color w:val="auto"/>
                <w:sz w:val="24"/>
                <w:szCs w:val="24"/>
                <w:lang w:eastAsia="zh-CN"/>
              </w:rPr>
              <w:t>水阳江，生产废水经收集后计入自建的污水处理站处理后回用。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（1）设备清洗用水：本项目设备清洗1次/月，0.5m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/次。设备清洗水经收集后进入自建的污水处理站处理后回用。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（2）生产车间地面保洁用水：本项目车间地面需定期进行清洗，5天保洁一次，地面冲洗水用量0.25L/m</w:t>
            </w:r>
            <w:r>
              <w:rPr>
                <w:rFonts w:hint="eastAsia" w:ascii="Times New Roman" w:hAnsi="Times New Roman" w:cs="Times New Roman"/>
                <w:color w:val="auto"/>
                <w:sz w:val="24"/>
                <w:szCs w:val="24"/>
                <w:vertAlign w:val="superscript"/>
                <w:lang w:eastAsia="zh-CN"/>
              </w:rPr>
              <w:t>2</w:t>
            </w:r>
            <w:r>
              <w:rPr>
                <w:rFonts w:hint="eastAsia" w:ascii="Times New Roman" w:hAnsi="Times New Roman" w:cs="Times New Roman"/>
                <w:color w:val="auto"/>
                <w:sz w:val="24"/>
                <w:szCs w:val="24"/>
                <w:lang w:eastAsia="zh-CN"/>
              </w:rPr>
              <w:t>·次，项目总建筑面积约31448.3m</w:t>
            </w:r>
            <w:r>
              <w:rPr>
                <w:rFonts w:hint="eastAsia" w:ascii="Times New Roman" w:hAnsi="Times New Roman" w:cs="Times New Roman"/>
                <w:color w:val="auto"/>
                <w:sz w:val="24"/>
                <w:szCs w:val="24"/>
                <w:vertAlign w:val="superscript"/>
                <w:lang w:eastAsia="zh-CN"/>
              </w:rPr>
              <w:t>2</w:t>
            </w:r>
            <w:r>
              <w:rPr>
                <w:rFonts w:hint="eastAsia" w:ascii="Times New Roman" w:hAnsi="Times New Roman" w:cs="Times New Roman"/>
                <w:color w:val="auto"/>
                <w:sz w:val="24"/>
                <w:szCs w:val="24"/>
                <w:lang w:eastAsia="zh-CN"/>
              </w:rPr>
              <w:t>。地面保洁废水经收集后进入自建的污水处理站处理后回用。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（3）喷水织机生产用水：每台织机废水产生量</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/d，项目喷水织机共有</w:t>
            </w:r>
            <w:r>
              <w:rPr>
                <w:rFonts w:hint="eastAsia" w:ascii="Times New Roman" w:hAnsi="Times New Roman" w:cs="Times New Roman"/>
                <w:color w:val="auto"/>
                <w:sz w:val="24"/>
                <w:szCs w:val="24"/>
                <w:lang w:val="en-US" w:eastAsia="zh-CN"/>
              </w:rPr>
              <w:t>900</w:t>
            </w:r>
            <w:r>
              <w:rPr>
                <w:rFonts w:hint="eastAsia" w:ascii="Times New Roman" w:hAnsi="Times New Roman" w:cs="Times New Roman"/>
                <w:color w:val="auto"/>
                <w:sz w:val="24"/>
                <w:szCs w:val="24"/>
                <w:lang w:eastAsia="zh-CN"/>
              </w:rPr>
              <w:t>台，补充新鲜水约为每台用水量10%，则补水量为3</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0m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/d。喷水织机生产用水经收集后进入自建的污水处理站处理后回用。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（4）职工生活用水：厂区共有职工</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0人，职工用水量每人50L/d，生活用水量为</w:t>
            </w:r>
            <w:r>
              <w:rPr>
                <w:rFonts w:hint="eastAsia" w:ascii="Times New Roman" w:hAnsi="Times New Roman" w:cs="Times New Roman"/>
                <w:color w:val="auto"/>
                <w:sz w:val="24"/>
                <w:szCs w:val="24"/>
                <w:lang w:val="en-US" w:eastAsia="zh-CN"/>
              </w:rPr>
              <w:t>2m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/d，生活污水产生量为1.7m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1896745" cy="3573145"/>
                  <wp:effectExtent l="0" t="0" r="8255" b="825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1"/>
                          <a:stretch>
                            <a:fillRect/>
                          </a:stretch>
                        </pic:blipFill>
                        <pic:spPr>
                          <a:xfrm>
                            <a:off x="0" y="0"/>
                            <a:ext cx="1896745" cy="3573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图6-1 污水处理站工艺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ascii="Times New Roman" w:hAnsi="Times New Roman"/>
                <w:color w:val="auto"/>
                <w:sz w:val="24"/>
                <w:szCs w:val="24"/>
              </w:rPr>
              <w:t>穿综机</w:t>
            </w:r>
            <w:r>
              <w:rPr>
                <w:rFonts w:hint="eastAsia" w:ascii="Times New Roman" w:hAnsi="Times New Roman"/>
                <w:color w:val="auto"/>
                <w:sz w:val="24"/>
                <w:szCs w:val="24"/>
                <w:lang w:eastAsia="zh-CN"/>
              </w:rPr>
              <w:t>、</w:t>
            </w:r>
            <w:r>
              <w:rPr>
                <w:rFonts w:ascii="Times New Roman" w:hAnsi="Times New Roman"/>
                <w:color w:val="auto"/>
                <w:sz w:val="24"/>
                <w:szCs w:val="24"/>
              </w:rPr>
              <w:t>喷水织机</w:t>
            </w:r>
            <w:r>
              <w:rPr>
                <w:rFonts w:hint="eastAsia" w:ascii="Times New Roman" w:hAnsi="Times New Roman"/>
                <w:color w:val="auto"/>
                <w:sz w:val="24"/>
                <w:szCs w:val="24"/>
                <w:lang w:eastAsia="zh-CN"/>
              </w:rPr>
              <w:t>、</w:t>
            </w:r>
            <w:r>
              <w:rPr>
                <w:rFonts w:hint="eastAsia" w:ascii="Times New Roman" w:hAnsi="Times New Roman"/>
                <w:color w:val="auto"/>
                <w:sz w:val="24"/>
                <w:szCs w:val="24"/>
              </w:rPr>
              <w:t>清洗水枪</w:t>
            </w:r>
            <w:r>
              <w:rPr>
                <w:rFonts w:hint="eastAsia" w:ascii="Times New Roman" w:hAnsi="Times New Roman"/>
                <w:color w:val="auto"/>
                <w:sz w:val="24"/>
                <w:szCs w:val="24"/>
                <w:lang w:eastAsia="zh-CN"/>
              </w:rPr>
              <w:t>、</w:t>
            </w:r>
            <w:r>
              <w:rPr>
                <w:rFonts w:hint="eastAsia" w:ascii="Times New Roman" w:hAnsi="Times New Roman"/>
                <w:color w:val="auto"/>
                <w:sz w:val="24"/>
                <w:szCs w:val="24"/>
              </w:rPr>
              <w:t>手电钻</w:t>
            </w:r>
            <w:r>
              <w:rPr>
                <w:rFonts w:hint="default" w:ascii="Times New Roman" w:hAnsi="Times New Roman" w:eastAsia="宋体" w:cs="Times New Roman"/>
                <w:color w:val="auto"/>
                <w:sz w:val="24"/>
                <w:szCs w:val="24"/>
                <w:lang w:eastAsia="zh-CN"/>
              </w:rPr>
              <w:t>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一般固废有废涤纶纱、边角料、不合格坯布、废包装材料、污水处理站污泥、生活垃圾，危险废物有废机油、废机油桶</w:t>
            </w:r>
            <w:r>
              <w:rPr>
                <w:rFonts w:hint="eastAsia" w:ascii="Times New Roman" w:hAnsi="Times New Roman" w:eastAsia="宋体" w:cs="Times New Roman"/>
                <w:b w:val="0"/>
                <w:bCs w:val="0"/>
                <w:color w:val="auto"/>
                <w:sz w:val="24"/>
                <w:szCs w:val="24"/>
                <w:lang w:eastAsia="zh-CN"/>
              </w:rPr>
              <w:t>。</w:t>
            </w:r>
            <w:r>
              <w:rPr>
                <w:rFonts w:hint="eastAsia"/>
                <w:sz w:val="24"/>
                <w:szCs w:val="24"/>
              </w:rPr>
              <w:t>项目产生的固废经采取措施后，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798"/>
              <w:gridCol w:w="1867"/>
              <w:gridCol w:w="1294"/>
              <w:gridCol w:w="1294"/>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031"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070"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742"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已产生量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w:t>
                  </w:r>
                  <w:r>
                    <w:rPr>
                      <w:rFonts w:hint="eastAsia" w:ascii="Times New Roman" w:hAnsi="Times New Roman" w:eastAsia="宋体" w:cs="Times New Roman"/>
                      <w:sz w:val="21"/>
                      <w:szCs w:val="21"/>
                      <w:lang w:eastAsia="zh-CN"/>
                    </w:rPr>
                    <w:t>）</w:t>
                  </w:r>
                </w:p>
              </w:tc>
              <w:tc>
                <w:tcPr>
                  <w:tcW w:w="742"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年</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932"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lang w:val="en-US" w:eastAsia="zh-CN"/>
                    </w:rPr>
                    <w:t>废涤纶丝、边角料</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175</w:t>
                  </w:r>
                  <w:r>
                    <w:rPr>
                      <w:rFonts w:ascii="Times New Roman" w:hAnsi="Times New Roman" w:eastAsia="宋体" w:cs="Times New Roman"/>
                      <w:color w:val="auto"/>
                      <w:sz w:val="21"/>
                      <w:szCs w:val="21"/>
                    </w:rPr>
                    <w:t>-999-</w:t>
                  </w:r>
                  <w:r>
                    <w:rPr>
                      <w:rFonts w:hint="eastAsia" w:ascii="Times New Roman" w:hAnsi="Times New Roman" w:eastAsia="宋体" w:cs="Times New Roman"/>
                      <w:color w:val="auto"/>
                      <w:sz w:val="21"/>
                      <w:szCs w:val="21"/>
                      <w:lang w:val="en-US" w:eastAsia="zh-CN"/>
                    </w:rPr>
                    <w:t>66-0001</w:t>
                  </w:r>
                </w:p>
              </w:tc>
              <w:tc>
                <w:tcPr>
                  <w:tcW w:w="742" w:type="pct"/>
                  <w:vAlign w:val="center"/>
                </w:tcPr>
                <w:p>
                  <w:pPr>
                    <w:pStyle w:val="36"/>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93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ascii="Times New Roman" w:hAnsi="Times New Roman"/>
                      <w:color w:val="auto"/>
                      <w:sz w:val="21"/>
                      <w:szCs w:val="21"/>
                      <w:lang w:val="en-US" w:eastAsia="zh-CN"/>
                    </w:rPr>
                    <w:t>废包装材料</w:t>
                  </w:r>
                </w:p>
              </w:tc>
              <w:tc>
                <w:tcPr>
                  <w:tcW w:w="1070"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175</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-0002</w:t>
                  </w:r>
                </w:p>
              </w:tc>
              <w:tc>
                <w:tcPr>
                  <w:tcW w:w="742" w:type="pct"/>
                  <w:vAlign w:val="center"/>
                </w:tcPr>
                <w:p>
                  <w:pPr>
                    <w:pStyle w:val="36"/>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93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污泥</w:t>
                  </w:r>
                </w:p>
              </w:tc>
              <w:tc>
                <w:tcPr>
                  <w:tcW w:w="1070"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-0003</w:t>
                  </w:r>
                </w:p>
              </w:tc>
              <w:tc>
                <w:tcPr>
                  <w:tcW w:w="742" w:type="pct"/>
                  <w:vAlign w:val="center"/>
                </w:tcPr>
                <w:p>
                  <w:pPr>
                    <w:pStyle w:val="36"/>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42" w:type="pct"/>
                  <w:vAlign w:val="center"/>
                </w:tcPr>
                <w:p>
                  <w:pPr>
                    <w:pStyle w:val="36"/>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93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4</w:t>
                  </w:r>
                </w:p>
              </w:tc>
              <w:tc>
                <w:tcPr>
                  <w:tcW w:w="1031" w:type="pct"/>
                  <w:vAlign w:val="center"/>
                </w:tcPr>
                <w:p>
                  <w:pPr>
                    <w:pStyle w:val="36"/>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不合格产品</w:t>
                  </w:r>
                </w:p>
              </w:tc>
              <w:tc>
                <w:tcPr>
                  <w:tcW w:w="1070" w:type="pct"/>
                  <w:vAlign w:val="center"/>
                </w:tcPr>
                <w:p>
                  <w:pPr>
                    <w:pStyle w:val="36"/>
                    <w:snapToGrid w:val="0"/>
                    <w:rPr>
                      <w:rFonts w:hint="eastAsia" w:eastAsia="宋体" w:cs="Times New Roman"/>
                      <w:sz w:val="21"/>
                      <w:szCs w:val="21"/>
                      <w:lang w:eastAsia="zh-CN"/>
                    </w:rPr>
                  </w:pPr>
                  <w:r>
                    <w:rPr>
                      <w:rFonts w:hint="eastAsia" w:ascii="Times New Roman" w:hAnsi="Times New Roman" w:eastAsia="宋体" w:cs="Times New Roman"/>
                      <w:color w:val="auto"/>
                      <w:sz w:val="21"/>
                      <w:szCs w:val="21"/>
                      <w:lang w:val="en-US" w:eastAsia="zh-CN"/>
                    </w:rPr>
                    <w:t>175</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-0004</w:t>
                  </w:r>
                </w:p>
              </w:tc>
              <w:tc>
                <w:tcPr>
                  <w:tcW w:w="742" w:type="pct"/>
                  <w:vAlign w:val="center"/>
                </w:tcPr>
                <w:p>
                  <w:pPr>
                    <w:pStyle w:val="36"/>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1.5</w:t>
                  </w:r>
                </w:p>
              </w:tc>
              <w:tc>
                <w:tcPr>
                  <w:tcW w:w="93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5</w:t>
                  </w:r>
                </w:p>
              </w:tc>
              <w:tc>
                <w:tcPr>
                  <w:tcW w:w="1031" w:type="pct"/>
                  <w:vAlign w:val="center"/>
                </w:tcPr>
                <w:p>
                  <w:pPr>
                    <w:pStyle w:val="36"/>
                    <w:snapToGrid w:val="0"/>
                    <w:rPr>
                      <w:rFonts w:hint="eastAsia" w:ascii="Times New Roman" w:hAnsi="Times New Roman"/>
                      <w:color w:val="auto"/>
                      <w:sz w:val="21"/>
                      <w:szCs w:val="21"/>
                    </w:rPr>
                  </w:pPr>
                  <w:r>
                    <w:rPr>
                      <w:rFonts w:hint="eastAsia" w:ascii="Times New Roman" w:hAnsi="Times New Roman"/>
                      <w:color w:val="auto"/>
                      <w:sz w:val="21"/>
                      <w:szCs w:val="21"/>
                    </w:rPr>
                    <w:t>废机油</w:t>
                  </w:r>
                </w:p>
              </w:tc>
              <w:tc>
                <w:tcPr>
                  <w:tcW w:w="1070" w:type="pct"/>
                  <w:vAlign w:val="center"/>
                </w:tcPr>
                <w:p>
                  <w:pPr>
                    <w:pStyle w:val="36"/>
                    <w:snapToGrid w:val="0"/>
                    <w:rPr>
                      <w:rFonts w:hint="default" w:ascii="Times New Roman" w:hAnsi="Times New Roman" w:eastAsiaTheme="minorEastAsia"/>
                      <w:color w:val="auto"/>
                      <w:sz w:val="21"/>
                      <w:szCs w:val="21"/>
                      <w:lang w:val="en-US"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08 </w:t>
                  </w:r>
                  <w:r>
                    <w:rPr>
                      <w:rFonts w:ascii="Times New Roman" w:hAnsi="Times New Roman"/>
                      <w:color w:val="auto"/>
                      <w:sz w:val="21"/>
                      <w:szCs w:val="21"/>
                    </w:rPr>
                    <w:t>900-</w:t>
                  </w:r>
                  <w:r>
                    <w:rPr>
                      <w:rFonts w:hint="eastAsia" w:ascii="Times New Roman" w:hAnsi="Times New Roman"/>
                      <w:color w:val="auto"/>
                      <w:sz w:val="21"/>
                      <w:szCs w:val="21"/>
                      <w:lang w:val="en-US" w:eastAsia="zh-CN"/>
                    </w:rPr>
                    <w:t>24</w:t>
                  </w:r>
                  <w:r>
                    <w:rPr>
                      <w:rFonts w:ascii="Times New Roman" w:hAnsi="Times New Roman"/>
                      <w:color w:val="auto"/>
                      <w:sz w:val="21"/>
                      <w:szCs w:val="21"/>
                    </w:rPr>
                    <w:t>9-</w:t>
                  </w:r>
                  <w:r>
                    <w:rPr>
                      <w:rFonts w:hint="eastAsia" w:ascii="Times New Roman" w:hAnsi="Times New Roman"/>
                      <w:color w:val="auto"/>
                      <w:sz w:val="21"/>
                      <w:szCs w:val="21"/>
                      <w:lang w:val="en-US" w:eastAsia="zh-CN"/>
                    </w:rPr>
                    <w:t>08</w:t>
                  </w:r>
                </w:p>
              </w:tc>
              <w:tc>
                <w:tcPr>
                  <w:tcW w:w="742" w:type="pct"/>
                  <w:vAlign w:val="center"/>
                </w:tcPr>
                <w:p>
                  <w:pPr>
                    <w:pStyle w:val="36"/>
                    <w:snapToGrid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未产生</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93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6</w:t>
                  </w:r>
                </w:p>
              </w:tc>
              <w:tc>
                <w:tcPr>
                  <w:tcW w:w="1031"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废机油桶</w:t>
                  </w:r>
                </w:p>
              </w:tc>
              <w:tc>
                <w:tcPr>
                  <w:tcW w:w="1070" w:type="pct"/>
                  <w:vAlign w:val="center"/>
                </w:tcPr>
                <w:p>
                  <w:pPr>
                    <w:pStyle w:val="36"/>
                    <w:snapToGrid w:val="0"/>
                    <w:rPr>
                      <w:rFonts w:hint="eastAsia" w:eastAsia="宋体" w:cs="Times New Roman"/>
                      <w:sz w:val="21"/>
                      <w:szCs w:val="21"/>
                      <w:lang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08 </w:t>
                  </w:r>
                  <w:r>
                    <w:rPr>
                      <w:rFonts w:ascii="Times New Roman" w:hAnsi="Times New Roman"/>
                      <w:color w:val="auto"/>
                      <w:sz w:val="21"/>
                      <w:szCs w:val="21"/>
                    </w:rPr>
                    <w:t>900-</w:t>
                  </w:r>
                  <w:r>
                    <w:rPr>
                      <w:rFonts w:hint="eastAsia" w:ascii="Times New Roman" w:hAnsi="Times New Roman"/>
                      <w:color w:val="auto"/>
                      <w:sz w:val="21"/>
                      <w:szCs w:val="21"/>
                      <w:lang w:val="en-US" w:eastAsia="zh-CN"/>
                    </w:rPr>
                    <w:t>24</w:t>
                  </w:r>
                  <w:r>
                    <w:rPr>
                      <w:rFonts w:ascii="Times New Roman" w:hAnsi="Times New Roman"/>
                      <w:color w:val="auto"/>
                      <w:sz w:val="21"/>
                      <w:szCs w:val="21"/>
                    </w:rPr>
                    <w:t>9-</w:t>
                  </w:r>
                  <w:r>
                    <w:rPr>
                      <w:rFonts w:hint="eastAsia" w:ascii="Times New Roman" w:hAnsi="Times New Roman"/>
                      <w:color w:val="auto"/>
                      <w:sz w:val="21"/>
                      <w:szCs w:val="21"/>
                      <w:lang w:val="en-US" w:eastAsia="zh-CN"/>
                    </w:rPr>
                    <w:t>08</w:t>
                  </w:r>
                </w:p>
              </w:tc>
              <w:tc>
                <w:tcPr>
                  <w:tcW w:w="742" w:type="pct"/>
                  <w:vAlign w:val="center"/>
                </w:tcPr>
                <w:p>
                  <w:pPr>
                    <w:pStyle w:val="36"/>
                    <w:snapToGrid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未产生</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c>
                <w:tcPr>
                  <w:tcW w:w="93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031"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070"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742"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742"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32"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251710" cy="3004185"/>
                  <wp:effectExtent l="0" t="0" r="15240" b="5715"/>
                  <wp:docPr id="20" name="图片 20" descr="da92fc6913ec575ea9199e8ad62e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a92fc6913ec575ea9199e8ad62e6da"/>
                          <pic:cNvPicPr>
                            <a:picLocks noChangeAspect="1"/>
                          </pic:cNvPicPr>
                        </pic:nvPicPr>
                        <pic:blipFill>
                          <a:blip r:embed="rId12"/>
                          <a:stretch>
                            <a:fillRect/>
                          </a:stretch>
                        </pic:blipFill>
                        <pic:spPr>
                          <a:xfrm>
                            <a:off x="0" y="0"/>
                            <a:ext cx="2251710" cy="3004185"/>
                          </a:xfrm>
                          <a:prstGeom prst="rect">
                            <a:avLst/>
                          </a:prstGeom>
                        </pic:spPr>
                      </pic:pic>
                    </a:graphicData>
                  </a:graphic>
                </wp:inline>
              </w:drawing>
            </w:r>
            <w:r>
              <w:rPr>
                <w:rFonts w:hint="eastAsia" w:eastAsiaTheme="minorEastAsia"/>
                <w:sz w:val="24"/>
                <w:szCs w:val="24"/>
                <w:lang w:eastAsia="zh-CN"/>
              </w:rPr>
              <w:drawing>
                <wp:inline distT="0" distB="0" distL="114300" distR="114300">
                  <wp:extent cx="2230755" cy="2974340"/>
                  <wp:effectExtent l="0" t="0" r="17145" b="16510"/>
                  <wp:docPr id="21" name="图片 21" descr="78e27bb6cfe7079ded5d6606008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8e27bb6cfe7079ded5d6606008b2f4"/>
                          <pic:cNvPicPr>
                            <a:picLocks noChangeAspect="1"/>
                          </pic:cNvPicPr>
                        </pic:nvPicPr>
                        <pic:blipFill>
                          <a:blip r:embed="rId13"/>
                          <a:stretch>
                            <a:fillRect/>
                          </a:stretch>
                        </pic:blipFill>
                        <pic:spPr>
                          <a:xfrm>
                            <a:off x="0" y="0"/>
                            <a:ext cx="2230755" cy="2974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图6-2 危废库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、排污许可证完成情况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lang w:val="en-US" w:eastAsia="zh-CN"/>
              </w:rPr>
            </w:pPr>
            <w:r>
              <w:rPr>
                <w:rFonts w:hint="default" w:ascii="Times New Roman" w:hAnsi="Times New Roman" w:cs="Times New Roman"/>
                <w:sz w:val="24"/>
                <w:szCs w:val="24"/>
              </w:rPr>
              <w:t>根据项目的国民经济行业类别C</w:t>
            </w:r>
            <w:r>
              <w:rPr>
                <w:rFonts w:hint="eastAsia" w:ascii="Times New Roman" w:hAnsi="Times New Roman" w:cs="Times New Roman"/>
                <w:sz w:val="24"/>
                <w:szCs w:val="24"/>
                <w:lang w:val="en-US" w:eastAsia="zh-CN"/>
              </w:rPr>
              <w:t xml:space="preserve">1751 </w:t>
            </w:r>
            <w:r>
              <w:rPr>
                <w:rFonts w:hint="default" w:ascii="Times New Roman" w:hAnsi="Times New Roman" w:cs="Times New Roman"/>
                <w:sz w:val="24"/>
                <w:szCs w:val="24"/>
              </w:rPr>
              <w:t>化纤织造加工，按《固定污染源排污许可分类管理名录（2019年版）》进行判定，可知：本项目属于固定污染源排污许可分类管理名录表中的“十二、纺织业 17</w:t>
            </w:r>
            <w:r>
              <w:rPr>
                <w:rFonts w:hint="eastAsia" w:ascii="Times New Roman" w:hAnsi="Times New Roman" w:cs="Times New Roman"/>
                <w:sz w:val="24"/>
                <w:szCs w:val="24"/>
                <w:lang w:val="en-US" w:eastAsia="zh-CN"/>
              </w:rPr>
              <w:t xml:space="preserve"> 25</w:t>
            </w:r>
            <w:r>
              <w:rPr>
                <w:rFonts w:hint="default" w:ascii="Times New Roman" w:hAnsi="Times New Roman" w:cs="Times New Roman"/>
                <w:sz w:val="24"/>
                <w:szCs w:val="24"/>
              </w:rPr>
              <w:t>化纤织造及印染精加工 175，有前处理、染色、印花、洗毛、麻脱胶、缫丝或者</w:t>
            </w:r>
            <w:r>
              <w:rPr>
                <w:rFonts w:hint="default" w:ascii="Times New Roman" w:hAnsi="Times New Roman" w:cs="Times New Roman"/>
                <w:b w:val="0"/>
                <w:bCs w:val="0"/>
                <w:sz w:val="24"/>
                <w:szCs w:val="24"/>
              </w:rPr>
              <w:t>喷水织造工序的</w:t>
            </w:r>
            <w:r>
              <w:rPr>
                <w:rFonts w:hint="default" w:ascii="Times New Roman" w:hAnsi="Times New Roman" w:cs="Times New Roman"/>
                <w:sz w:val="24"/>
                <w:szCs w:val="24"/>
              </w:rPr>
              <w:t>”，本项目的排污许可填报“管理类别”为“</w:t>
            </w:r>
            <w:r>
              <w:rPr>
                <w:rFonts w:hint="eastAsia" w:ascii="Times New Roman" w:hAnsi="Times New Roman" w:cs="Times New Roman"/>
                <w:sz w:val="24"/>
                <w:szCs w:val="24"/>
                <w:lang w:eastAsia="zh-CN"/>
              </w:rPr>
              <w:t>重点</w:t>
            </w:r>
            <w:r>
              <w:rPr>
                <w:rFonts w:hint="default" w:ascii="Times New Roman" w:hAnsi="Times New Roman" w:cs="Times New Roman"/>
                <w:sz w:val="24"/>
                <w:szCs w:val="24"/>
              </w:rPr>
              <w:t>管理”。宁国市福华纺织有限公司于2020年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日进行排污许可</w:t>
            </w:r>
            <w:r>
              <w:rPr>
                <w:rFonts w:hint="eastAsia" w:ascii="Times New Roman" w:hAnsi="Times New Roman" w:cs="Times New Roman"/>
                <w:sz w:val="24"/>
                <w:szCs w:val="24"/>
                <w:lang w:eastAsia="zh-CN"/>
              </w:rPr>
              <w:t>填报</w:t>
            </w:r>
            <w:r>
              <w:rPr>
                <w:rFonts w:hint="default" w:ascii="Times New Roman" w:hAnsi="Times New Roman" w:cs="Times New Roman"/>
                <w:sz w:val="24"/>
                <w:szCs w:val="24"/>
              </w:rPr>
              <w:t>，有效期为2020年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日至202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日。</w:t>
            </w:r>
            <w:r>
              <w:rPr>
                <w:rFonts w:hint="eastAsia" w:ascii="Times New Roman" w:hAnsi="Times New Roman" w:cs="Times New Roman"/>
                <w:sz w:val="24"/>
                <w:szCs w:val="24"/>
                <w:lang w:eastAsia="zh-CN"/>
              </w:rPr>
              <w:t>排污许可证</w:t>
            </w:r>
            <w:r>
              <w:rPr>
                <w:rFonts w:hint="default" w:ascii="Times New Roman" w:hAnsi="Times New Roman" w:cs="Times New Roman"/>
                <w:sz w:val="24"/>
                <w:szCs w:val="24"/>
              </w:rPr>
              <w:t>编号：91341881MA2TDAMW7H001P。</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4176395</wp:posOffset>
                </wp:positionH>
                <wp:positionV relativeFrom="paragraph">
                  <wp:posOffset>2740025</wp:posOffset>
                </wp:positionV>
                <wp:extent cx="190500" cy="182245"/>
                <wp:effectExtent l="19685" t="20955" r="37465" b="25400"/>
                <wp:wrapNone/>
                <wp:docPr id="9" name="五角星 9"/>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8.85pt;margin-top:215.75pt;height:14.35pt;width:15pt;z-index:251673600;v-text-anchor:middle;mso-width-relative:page;mso-height-relative:page;" fillcolor="#FF0000" filled="t" stroked="t" coordsize="190500,182245" o:gfxdata="UEsDBAoAAAAAAIdO4kAAAAAAAAAAAAAAAAAEAAAAZHJzL1BLAwQUAAAACACHTuJAIBqWttoAAAAL&#10;AQAADwAAAGRycy9kb3ducmV2LnhtbE2PwU7DMAyG70i8Q2QkbizpYN3UNZ3GJMQBJESAe9Z4bbUm&#10;6Zq0Kzw93gmO/v3p9+d8M9mWjdiHxjsJyUwAQ1d607hKwufH090KWIjaGd16hxK+McCmuL7KdWb8&#10;2b3jqGLFqMSFTEuoY+wyzkNZo9Vh5jt0tDv43upIY19x0+szlduWz4VIudWNowu17nBXY3lUg5Uw&#10;qNN26v3j9vX0tXs5dM9qfPtRUt7eJGINLOIU/2C46JM6FOS094MzgbUS0sVySaiEh/tkAYyIdHVJ&#10;9pSkYg68yPn/H4pfUEsDBBQAAAAIAIdO4kDATRZecwIAAPcEAAAOAAAAZHJzL2Uyb0RvYy54bWyt&#10;VM1uEzEQviPxDpbvdDdRQpsomypqFIRU0UoBcXa8dtaS/xg72ZTHQBy4cew78DwI8RiMvdumLRx6&#10;IIfNjGf2m/k+z+zs/GA02QsIytmKDk5KSoTlrlZ2W9EP71evzigJkdmaaWdFRW9EoOfzly9mrZ+K&#10;oWucrgUQBLFh2vqKNjH6aVEE3gjDwonzwmJQOjAsogvbogbWIrrRxbAsXxetg9qD4yIEPF12Qdoj&#10;wnMAnZSKi6XjOyNs7FBBaBaRUmiUD3Seu5VS8HglZRCR6Ioi05ifWATtTXoW8xmbboH5RvG+Bfac&#10;Fp5wMkxZLHoPtWSRkR2ov6CM4uCCk/GEO1N0RLIiyGJQPtFm3TAvMheUOvh70cP/g+Xv9tdAVF3R&#10;CSWWGbzwnz++/r798uvbdzJJ8rQ+TDFr7a+h9wKaietBgkn/yIIcsqQ395KKQyQcDweTclyi2BxD&#10;g7PhcDROmMXxZQ8hvhHOkGRUFCcPxllJtr8Mscu9y0nFgtOqXimtswPbzYUGsmd4vatVib8e/lGa&#10;tqTF8sPT3AnDoZU4LNiU8Ug82C0lTG9xG3iEXPvR2+F5RVKTSxaarpmMkHphU6MiLoxWpqJnqcO7&#10;FrVFIZK6nZ7J2rj6Bq8DXDenwfOVQthLFuI1AxxMVBJXN17hQ2qHpFxvUdI4+Pyv85SP84JRSloc&#10;dCT8acdAUKLfWpykyWA0SpuRndH4dIgOPIxsHkbszlw4FHuAHwnPs5nyo74zJTjzETd8kapiiFmO&#10;tTtpe+cidguI3wguFouchtvgWby0a88TeNLNusUuOqnyEBzV6UXDfchz1O9uWriHfs46fq/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Gpa22gAAAAsBAAAPAAAAAAAAAAEAIAAAACIAAABkcnMv&#10;ZG93bnJldi54bWxQSwECFAAUAAAACACHTuJAwE0WXnMCAAD3BAAADgAAAAAAAAABACAAAAApAQAA&#10;ZHJzL2Uyb0RvYy54bWxQSwUGAAAAAAYABgBZAQAADgY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7475220</wp:posOffset>
                </wp:positionH>
                <wp:positionV relativeFrom="paragraph">
                  <wp:posOffset>3009265</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rPr>
                                <w:rFonts w:hint="eastAsia"/>
                                <w:lang w:val="en-US" w:eastAsia="zh-CN"/>
                              </w:rPr>
                            </w:pP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8.6pt;margin-top:236.95pt;height:115pt;width:71.3pt;z-index:251664384;mso-width-relative:page;mso-height-relative:page;" fillcolor="#FFFFFF" filled="t" stroked="f" coordsize="21600,21600" o:gfxdata="UEsDBAoAAAAAAIdO4kAAAAAAAAAAAAAAAAAEAAAAZHJzL1BLAwQUAAAACACHTuJA0fM/ItkAAAAN&#10;AQAADwAAAGRycy9kb3ducmV2LnhtbE2PzU7DMBCE70i8g7VIXBB10j83IU4lkEBcW/oATrxNosbr&#10;KHab9u3ZnuA4s59mZ4rt1fXigmPoPGlIZwkIpNrbjhoNh5/P1w2IEA1Z03tCDTcMsC0fHwqTWz/R&#10;Di/72AgOoZAbDW2MQy5lqFt0Jsz8gMS3ox+diSzHRtrRTBzuejlPkrV0piP+0JoBP1qsT/uz03D8&#10;nl5W2VR9xYPaLdfvplOVv2n9/JQmbyAiXuMfDPf6XB1K7lT5M9kgetapUnNmNSzVIgNxRxZpxnMq&#10;DSphS5aF/L+i/AV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fM/It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rPr>
                          <w:rFonts w:hint="eastAsia"/>
                          <w:lang w:val="en-US" w:eastAsia="zh-CN"/>
                        </w:rPr>
                      </w:pP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4224655</wp:posOffset>
                </wp:positionH>
                <wp:positionV relativeFrom="paragraph">
                  <wp:posOffset>3307080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2.65pt;margin-top:260.4pt;height:11.25pt;width:11.25pt;z-index:251662336;mso-width-relative:page;mso-height-relative:page;" fillcolor="#FF0000" filled="t" stroked="t" coordsize="21600,21600" o:gfxdata="UEsDBAoAAAAAAIdO4kAAAAAAAAAAAAAAAAAEAAAAZHJzL1BLAwQUAAAACACHTuJAX0BxHtwAAAAL&#10;AQAADwAAAGRycy9kb3ducmV2LnhtbE2PQU/DMAyF70j8h8hI3FiylYapNJ0QYhMXJhhIiFvWmraj&#10;cUqTbd2/x5zgZvs9PX8vX4yuEwccQuvJwHSiQCCVvmqpNvD2uryagwjRUmU7T2jghAEWxflZbrPK&#10;H+kFD5tYCw6hkFkDTYx9JmUoG3Q2THyPxNqnH5yNvA61rAZ75HDXyZlSWjrbEn9obI/3DZZfm70z&#10;MH4/7narpf5ITk+qTx/en9PV+s6Yy4upugURcYx/ZvjFZ3QomGnr91QF0RnQOk3YaiCdKe7ADj2/&#10;4WHLl+skAVnk8n+H4gd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QHEe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6303645</wp:posOffset>
                </wp:positionH>
                <wp:positionV relativeFrom="paragraph">
                  <wp:posOffset>1561465</wp:posOffset>
                </wp:positionV>
                <wp:extent cx="142875" cy="142875"/>
                <wp:effectExtent l="7620" t="10795" r="20955" b="17780"/>
                <wp:wrapNone/>
                <wp:docPr id="7" name="流程图: 摘录 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496.35pt;margin-top:122.95pt;height:11.25pt;width:11.25pt;z-index:251672576;mso-width-relative:page;mso-height-relative:page;" fillcolor="#FF0000" filled="t" stroked="t" coordsize="21600,21600" o:gfxdata="UEsDBAoAAAAAAIdO4kAAAAAAAAAAAAAAAAAEAAAAZHJzL1BLAwQUAAAACACHTuJAB0oNwd0AAAAM&#10;AQAADwAAAGRycy9kb3ducmV2LnhtbE2PwU7DMAyG70i8Q2QkbixpWbu1NJ0QYhMXEGxIiFvWmLaj&#10;cUqTbd3bk53gaPvT7+8vFqPp2AEH11qSEE0EMKTK6pZqCe+b5c0cmPOKtOosoYQTOliUlxeFyrU9&#10;0hse1r5mIYRcriQ03vc5565q0Cg3sT1SuH3ZwSgfxqHmelDHEG46HguRcqNaCh8a1eNDg9X3em8k&#10;jD9Pu91qmX7enp5Fnzx+vCarl3spr68icQfM4+j/YDjrB3Uog9PW7kk71knIsngWUAnxNMmAnQkR&#10;JTGwbVil8ynwsuD/S5S/UEsDBBQAAAAIAIdO4kAGxbpSFgIAAD8EAAAOAAAAZHJzL2Uyb0RvYy54&#10;bWytU82O0zAQviPxDpbvNGnF0iVquoftlguClRYeYGo7iSX/yXab9MiZEwckJF6AF+AIb7PLazB2&#10;SpddLj2QgzO2x9/M983M4mLQiuyED9Kamk4nJSXCMMulaWv6/t362TklIYLhoKwRNd2LQC+WT58s&#10;eleJme2s4sITBDGh6l1NuxhdVRSBdUJDmFgnDF421muIuPVtwT30iK5VMSvLF0VvPXfeMhECnq7G&#10;S3pA9KcA2qaRTKws22ph4ojqhYKIlEInXaDLnG3TCBbfNk0QkaiaItOYVwyC9iatxXIBVevBdZId&#10;UoBTUnjESYM0GPQItYIIZOvlP1BaMm+DbeKEWV2MRLIiyGJaPtLmpgMnMheUOrij6OH/wbI3u2tP&#10;JK/pnBIDGgt+9/3Dr28fb7/+rMjdpy+3Pz6TeZKpd6FC7xt37Q+7gGbiPDRepz+yIUOWdn+UVgyR&#10;MDycPp+dz88oYXh1sBGluH/sfIivhNUkGTVtlO0vO/DxaogeWMziwu51iOOzP+4pbrBK8rVUKm98&#10;u7lUnuwAK75el/il7DHSAzdlSF/Tl2ezlBNgGzfYPmhqh1IE0+Z4D16E04BTYisI3ZhARhibTMso&#10;knJQdQL4leEk7h3KbXDKaEpGC06JEjiUycqeEaQ6xRPZKYMkU43GqiQrDpsBYZK5sXyPdd46L9sO&#10;5Z1mTdIN9lVW5zADqXH/3mfQ+7l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Sg3B3QAAAAwB&#10;AAAPAAAAAAAAAAEAIAAAACIAAABkcnMvZG93bnJldi54bWxQSwECFAAUAAAACACHTuJABsW6UhYC&#10;AAA/BAAADgAAAAAAAAABACAAAAAs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4142740</wp:posOffset>
                </wp:positionH>
                <wp:positionV relativeFrom="paragraph">
                  <wp:posOffset>226695</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26.2pt;margin-top:17.85pt;height:11.25pt;width:11.25pt;z-index:251661312;mso-width-relative:page;mso-height-relative:page;" fillcolor="#FF0000" filled="t" stroked="t" coordsize="21600,21600" o:gfxdata="UEsDBAoAAAAAAIdO4kAAAAAAAAAAAAAAAAAEAAAAZHJzL1BLAwQUAAAACACHTuJAtc6/k9wAAAAJ&#10;AQAADwAAAGRycy9kb3ducmV2LnhtbE2PwU7DMBBE70j8g7VI3KjdtE5LiFMhRCsuIGgrIW5uvCQp&#10;8TrEbpv+PeYEx9U8zbzNF4Nt2RF73zhSMB4JYEilMw1VCrab5c0cmA+ajG4doYIzelgUlxe5zow7&#10;0Rse16FisYR8phXUIXQZ576s0Wo/ch1SzD5db3WIZ19x0+tTLLctT4RIudUNxYVad/hQY/m1PlgF&#10;w/fTfr9aph+T87Po5OP7q1y93Ct1fTUWd8ACDuEPhl/9qA5FdNq5AxnPWgWpTKYRVTCRM2ARSGfT&#10;W2A7BXKeAC9y/v+D4gdQSwMEFAAAAAgAh07iQCPSUBkXAgAAQQQAAA4AAABkcnMvZTJvRG9jLnht&#10;bK1TzW4TMRC+I/EOlu9kN1FLyyqbHpqGC4JKhQeY2N5dS/6T7WQ3R86cOCAh8QK8AMfyNi2vwdgb&#10;UlouObAH79gz/ma+b8bzi0ErshU+SGtqOp2UlAjDLJemremH96sX55SECIaDskbUdCcCvVg8fzbv&#10;XSVmtrOKC08QxISqdzXtYnRVUQTWCQ1hYp0w6Gys1xBx69uCe+gRXatiVpYvi9567rxlIgQ8XY5O&#10;ukf0xwDappFMLC3baGHiiOqFgoiUQiddoItcbdMIFt81TRCRqJoi05hXTIL2Oq3FYg5V68F1ku1L&#10;gGNKeMJJgzSY9AC1hAhk4+U/UFoyb4Nt4oRZXYxEsiLIYlo+0eamAycyF5Q6uIPo4f/Bsrfba08k&#10;r+nJGSUGNHb8/sfHX98/3X37WZH7z1/vbr8Q9KFQvQsVxt+4a7/fBTQT66HxOv2RDxmyuLuDuGKI&#10;hOHh9GR2fnZ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zr+T3AAAAAkB&#10;AAAPAAAAAAAAAAEAIAAAACIAAABkcnMvZG93bnJldi54bWxQSwECFAAUAAAACACHTuJAI9JQG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1463040</wp:posOffset>
                </wp:positionH>
                <wp:positionV relativeFrom="paragraph">
                  <wp:posOffset>1736725</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115.2pt;margin-top:136.75pt;height:11.25pt;width:11.25pt;z-index:251663360;mso-width-relative:page;mso-height-relative:page;" fillcolor="#FF0000" filled="t" stroked="t" coordsize="21600,21600" o:gfxdata="UEsDBAoAAAAAAIdO4kAAAAAAAAAAAAAAAAAEAAAAZHJzL1BLAwQUAAAACACHTuJA9gMbotwAAAAL&#10;AQAADwAAAGRycy9kb3ducmV2LnhtbE2PwU7DMAyG70i8Q2QkbixZSztWmk4IsYkLCDYkxC1rTdvR&#10;OKXJtu7tMSe4/ZY//f6cL0bbiQMOvnWkYTpRIJBKV7VUa3jbLK9uQPhgqDKdI9RwQg+L4vwsN1nl&#10;jvSKh3WoBZeQz4yGJoQ+k9KXDVrjJ65H4t2nG6wJPA61rAZz5HLbyUipVFrTEl9oTI/3DZZf673V&#10;MH4/7narZfoRn55Unzy8vySr5zutLy+m6hZEwDH8wfCrz+pQsNPW7anyotMQxeqaUQ6zOAHBRJRE&#10;cxBbDvNUgSxy+f+H4gd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Axui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67456;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65408;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drawing>
          <wp:inline distT="0" distB="0" distL="114300" distR="114300">
            <wp:extent cx="6675755" cy="4617085"/>
            <wp:effectExtent l="0" t="0" r="10795" b="12065"/>
            <wp:docPr id="19" name="图片 5" descr="E:\福华\福华纺织完整12.23\平面布置图.jpg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E:\福华\福华纺织完整12.23\平面布置图.jpg平面布置图"/>
                    <pic:cNvPicPr>
                      <a:picLocks noChangeAspect="1"/>
                    </pic:cNvPicPr>
                  </pic:nvPicPr>
                  <pic:blipFill>
                    <a:blip r:embed="rId10"/>
                    <a:srcRect/>
                    <a:stretch>
                      <a:fillRect/>
                    </a:stretch>
                  </pic:blipFill>
                  <pic:spPr>
                    <a:xfrm>
                      <a:off x="0" y="0"/>
                      <a:ext cx="6675755" cy="4617085"/>
                    </a:xfrm>
                    <a:prstGeom prst="rect">
                      <a:avLst/>
                    </a:prstGeom>
                    <a:noFill/>
                    <a:ln>
                      <a:noFill/>
                    </a:ln>
                  </pic:spPr>
                </pic:pic>
              </a:graphicData>
            </a:graphic>
          </wp:inline>
        </w:drawing>
      </w:r>
    </w:p>
    <w:p>
      <w:pPr>
        <w:bidi w:val="0"/>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s="Times New Roman"/>
          <w:kern w:val="2"/>
          <w:sz w:val="21"/>
          <w:szCs w:val="24"/>
          <w:lang w:val="en-US" w:eastAsia="zh-CN" w:bidi="ar-SA"/>
        </w:rPr>
        <w:t xml:space="preserve">                                </w:t>
      </w:r>
      <w:r>
        <w:rPr>
          <w:sz w:val="21"/>
        </w:rPr>
        <mc:AlternateContent>
          <mc:Choice Requires="wps">
            <w:drawing>
              <wp:anchor distT="0" distB="0" distL="114300" distR="114300" simplePos="0" relativeHeight="251666432" behindDoc="0" locked="0" layoutInCell="1" allowOverlap="1">
                <wp:simplePos x="0" y="0"/>
                <wp:positionH relativeFrom="column">
                  <wp:posOffset>3126105</wp:posOffset>
                </wp:positionH>
                <wp:positionV relativeFrom="paragraph">
                  <wp:posOffset>294640</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w:t>
                            </w:r>
                            <w:r>
                              <w:rPr>
                                <w:rFonts w:hint="eastAsia"/>
                                <w:b/>
                                <w:bCs/>
                                <w:sz w:val="21"/>
                                <w:szCs w:val="21"/>
                                <w:lang w:val="en-US" w:eastAsia="zh-CN"/>
                              </w:rPr>
                              <w:t>雨污管网</w:t>
                            </w:r>
                            <w:r>
                              <w:rPr>
                                <w:rFonts w:hint="default"/>
                                <w:b/>
                                <w:bCs/>
                                <w:sz w:val="21"/>
                                <w:szCs w:val="21"/>
                                <w:lang w:val="en-US" w:eastAsia="zh-CN"/>
                              </w:rPr>
                              <w:t>及监测点位</w:t>
                            </w:r>
                            <w:r>
                              <w:rPr>
                                <w:rFonts w:hint="eastAsia"/>
                                <w:b/>
                                <w:bCs/>
                                <w:sz w:val="21"/>
                                <w:szCs w:val="21"/>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5pt;margin-top:23.2pt;height:23.75pt;width:188.65pt;z-index:251666432;mso-width-relative:page;mso-height-relative:page;" fillcolor="#FFFFFF [3201]" filled="t" stroked="f" coordsize="21600,21600" o:gfxdata="UEsDBAoAAAAAAIdO4kAAAAAAAAAAAAAAAAAEAAAAZHJzL1BLAwQUAAAACACHTuJAxXW4s9YAAAAJ&#10;AQAADwAAAGRycy9kb3ducmV2LnhtbE2Pu27DMAxF9wL9B4EFujWyE8OIXcsZCnQNkEczKxZjGZUo&#10;w1KeX192ajcSPLg8t1ndvBMXnOIQSEE+y0AgdcEM1CvY7z7fliBi0mS0C4QK7hhh1T4/Nbo24Uob&#10;vGxTLziEYq0V2JTGWsrYWfQ6zsKIxLdTmLxOvE69NJO+crh3cp5lpfR6IP5g9YgfFrvv7dkrOPT+&#10;cfjKx8ka7wpaP+67fRiUen3Js3cQCW/pD4ZffVaHlp2O4UwmCqegqOYLRnkoCxAMLMuqBHFUUC0q&#10;kG0j/zdofwBQSwMEFAAAAAgAh07iQGwJbjleAgAAmwQAAA4AAABkcnMvZTJvRG9jLnhtbK1UwW4T&#10;MRC9I/EPlu90k2w2JFE2VWgVhFTRSgVxdrzerCXbY2wnu+UD4A84ceHOd/U7GHuTNhQOPZDDZux5&#10;OzPvzcwuzjutyF44L8GUdHg2oEQYDpU025J+/LB+NaXEB2YqpsCIkt4JT8+XL18sWjsXI2hAVcIR&#10;DGL8vLUlbUKw8yzzvBGa+TOwwqCzBqdZwKPbZpVjLUbXKhsNBpOsBVdZB1x4j7eXvZMeIrrnBIS6&#10;llxcAt9pYUIf1QnFAlLyjbSeLlO1dS14uK5rLwJRJUWmIT0xCdqb+MyWCzbfOmYbyQ8lsOeU8IST&#10;ZtJg0odQlywwsnPyr1Bacgce6nDGQWc9kaQIshgOnmhz2zArEheU2tsH0f3/C8vf728ckVVJc0oM&#10;09jw++/f7n/8uv/5leRRntb6OaJuLeJC9wY6HJrjvcfLyLqrnY7/yIegfzwb5pMcJb4r6aQYFdNZ&#10;0QstukA4Akb5rJgWBSUcEflgOBklQPYYyTof3grQJBolddjIpC/bX/mAVSH0CImJPShZraVS6eC2&#10;mwvlyJ5h09fpF9PjK3/AlCEt1pcXgxTZQHy/xymD8Ei8Jxit0G26gxobqO5QDAf9NHnL1xKrvGI+&#10;3DCH44PMccHCNT5qBZgEDhYlDbgv/7qPeOwqeilpcRxL6j/vmBOUqHcG+z0bjsdxftNhXLwe4cGd&#10;ejanHrPTF4Dkh7jKlicz4oM6mrUD/Qn3cBWzoosZjrlLGo7mReiXBPeYi9UqgXBiLQtX5tbyGDpK&#10;bWC1C1DL1JIoU6/NQT2c2ST7Yb/iUpyeE+rxm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V1&#10;uLPWAAAACQEAAA8AAAAAAAAAAQAgAAAAIgAAAGRycy9kb3ducmV2LnhtbFBLAQIUABQAAAAIAIdO&#10;4kBsCW45XgIAAJsEAAAOAAAAAAAAAAEAIAAAACUBAABkcnMvZTJvRG9jLnhtbFBLBQYAAAAABgAG&#10;AFkBAAD1BQ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w:t>
                      </w:r>
                      <w:r>
                        <w:rPr>
                          <w:rFonts w:hint="eastAsia"/>
                          <w:b/>
                          <w:bCs/>
                          <w:sz w:val="21"/>
                          <w:szCs w:val="21"/>
                          <w:lang w:val="en-US" w:eastAsia="zh-CN"/>
                        </w:rPr>
                        <w:t>雨污管网</w:t>
                      </w:r>
                      <w:r>
                        <w:rPr>
                          <w:rFonts w:hint="default"/>
                          <w:b/>
                          <w:bCs/>
                          <w:sz w:val="21"/>
                          <w:szCs w:val="21"/>
                          <w:lang w:val="en-US" w:eastAsia="zh-CN"/>
                        </w:rPr>
                        <w:t>及监测点位</w:t>
                      </w:r>
                      <w:r>
                        <w:rPr>
                          <w:rFonts w:hint="eastAsia"/>
                          <w:b/>
                          <w:bCs/>
                          <w:sz w:val="21"/>
                          <w:szCs w:val="21"/>
                          <w:lang w:val="en-US" w:eastAsia="zh-CN"/>
                        </w:rPr>
                        <w:t>图</w:t>
                      </w:r>
                    </w:p>
                  </w:txbxContent>
                </v:textbox>
              </v:shape>
            </w:pict>
          </mc:Fallback>
        </mc:AlternateConten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宁国市福华纺织有限公司“年产1亿米坯布项目”项目建设符合相关产业政策的要求，选址符合相关规划要求，选址合理，采取的各项污染防治措施可行，能够实现达标排放和总量控制要求，对环境影响较小。只要认真落实报告表提出的各项污染防治措施，从环境保护角度来看，该项目建设是可行的</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一、宁国市福华纺织有限公司年产1亿米坯布项目选址于宁国市汪溪殷白园区。购置原五星公司土地及厂房，同时建设厂房面积 15000 平方米，购置喷水织机、整经机、倍捻机、加捻机、加弹机等主要设备。项目建成达产后，年产1亿米坯布。项目经宁国经济技术开发区管委会宁开发项[2019]60号同意备案，项目编码:2019-341862-17-03-010945。经我局研究，原则同意建设。</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二、该项目生产废水经污水处理站处理达《城市污水再生利用 工业用水水质》标准后回用，不外排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生活污水经化粪池处理后清掏作农肥，不外排。</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三、运营期厂界噪声执行《工业企业厂界环境噪声排放标准》(GB12348-2008)中的3类标准。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四、该项目固体废弃物执行《一般工业固体废弃物贮存、处置场污染控制标准》 (GB18599-2001)及其修改单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危险废物执行《危险废物贮存污染控制标准》 (GB18597-2001)及其修改单。</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p>
          <w:p>
            <w:pPr>
              <w:pStyle w:val="3"/>
              <w:rPr>
                <w:rFonts w:hint="default" w:ascii="Times New Roman" w:hAnsi="Times New Roman" w:eastAsia="宋体" w:cs="Times New Roman"/>
                <w:color w:val="auto"/>
                <w:sz w:val="24"/>
                <w:szCs w:val="24"/>
                <w:lang w:eastAsia="zh-CN"/>
              </w:rPr>
            </w:pPr>
          </w:p>
          <w:p>
            <w:pPr>
              <w:rPr>
                <w:rFonts w:hint="default" w:ascii="Times New Roman" w:hAnsi="Times New Roman" w:eastAsia="宋体" w:cs="Times New Roman"/>
                <w:color w:val="auto"/>
                <w:sz w:val="24"/>
                <w:szCs w:val="24"/>
                <w:lang w:eastAsia="zh-CN"/>
              </w:rPr>
            </w:pPr>
          </w:p>
          <w:p>
            <w:pPr>
              <w:pStyle w:val="19"/>
              <w:rPr>
                <w:rFonts w:hint="default" w:ascii="Times New Roman" w:hAnsi="Times New Roman" w:eastAsia="宋体" w:cs="Times New Roman"/>
                <w:color w:val="auto"/>
                <w:sz w:val="24"/>
                <w:szCs w:val="24"/>
                <w:lang w:eastAsia="zh-CN"/>
              </w:rPr>
            </w:pPr>
          </w:p>
          <w:p>
            <w:pPr>
              <w:pStyle w:val="19"/>
              <w:rPr>
                <w:rFonts w:hint="default" w:ascii="Times New Roman" w:hAnsi="Times New Roman" w:eastAsia="宋体" w:cs="Times New Roman"/>
                <w:color w:val="auto"/>
                <w:sz w:val="24"/>
                <w:szCs w:val="24"/>
                <w:lang w:eastAsia="zh-CN"/>
              </w:rPr>
            </w:pPr>
          </w:p>
          <w:p>
            <w:pPr>
              <w:pStyle w:val="19"/>
              <w:rPr>
                <w:rFonts w:hint="default" w:ascii="Times New Roman" w:hAnsi="Times New Roman" w:eastAsia="宋体" w:cs="Times New Roman"/>
                <w:color w:val="auto"/>
                <w:sz w:val="24"/>
                <w:szCs w:val="24"/>
                <w:lang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81"/>
              <w:gridCol w:w="4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宁国市福华纺织有限公司年产1亿米坯布项目选址于宁国市汪溪殷白园区。购置原五星公司土地及厂房，同时建设厂房面积 15000平方米，购置喷水织机、整经机、倍捻机、加捻机、加弹机等主要设备。项目建成达产后，年产 1亿米坯布。项目经宁国经济技术开发区管委会宁开发项[2019]60号同意备案，项目编码:2019-341862-17-03-010945。经我局研究，原则同意建设</w:t>
                  </w:r>
                  <w:r>
                    <w:rPr>
                      <w:rFonts w:hint="eastAsia" w:ascii="Times New Roman" w:hAnsi="Times New Roman" w:eastAsia="宋体" w:cs="Times New Roman"/>
                      <w:color w:val="auto"/>
                      <w:sz w:val="21"/>
                      <w:szCs w:val="21"/>
                      <w:highlight w:val="none"/>
                      <w:lang w:eastAsia="zh-CN"/>
                    </w:rPr>
                    <w:t>。</w:t>
                  </w:r>
                </w:p>
              </w:tc>
              <w:tc>
                <w:tcPr>
                  <w:tcW w:w="265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default" w:ascii="Times New Roman" w:hAnsi="Times New Roman" w:eastAsia="宋体" w:cs="Times New Roman"/>
                      <w:color w:val="auto"/>
                      <w:sz w:val="21"/>
                      <w:szCs w:val="21"/>
                      <w:highlight w:val="none"/>
                      <w:lang w:eastAsia="zh-CN"/>
                    </w:rPr>
                    <w:t>宁国市汪溪殷白园区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该项目生产废水经污水处理站处理达《城市污水再生利用 工业用水水质》标准后回用，不外排；生活污水经化粪池处理后清掏作农肥，不外排</w:t>
                  </w:r>
                  <w:r>
                    <w:rPr>
                      <w:rFonts w:hint="eastAsia" w:ascii="Times New Roman" w:hAnsi="Times New Roman" w:cs="Times New Roman"/>
                      <w:sz w:val="21"/>
                      <w:szCs w:val="21"/>
                      <w:lang w:val="en-US" w:eastAsia="zh-CN" w:bidi="ar-SA"/>
                    </w:rPr>
                    <w:t>。</w:t>
                  </w:r>
                </w:p>
              </w:tc>
              <w:tc>
                <w:tcPr>
                  <w:tcW w:w="265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生产废水经污水处理站处理</w:t>
                  </w:r>
                  <w:r>
                    <w:rPr>
                      <w:rFonts w:hint="eastAsia" w:ascii="Times New Roman" w:hAnsi="Times New Roman" w:cs="Times New Roman"/>
                      <w:sz w:val="21"/>
                      <w:szCs w:val="21"/>
                      <w:lang w:val="en-US" w:eastAsia="zh-CN" w:bidi="ar-SA"/>
                    </w:rPr>
                    <w:t>后回用于生产，</w:t>
                  </w:r>
                  <w:r>
                    <w:rPr>
                      <w:rFonts w:hint="default" w:ascii="Times New Roman" w:hAnsi="Times New Roman" w:cs="Times New Roman" w:eastAsiaTheme="minorEastAsia"/>
                      <w:color w:val="000000"/>
                      <w:sz w:val="21"/>
                      <w:szCs w:val="21"/>
                      <w:lang w:val="en-US" w:eastAsia="zh-CN" w:bidi="ar-SA"/>
                    </w:rPr>
                    <w:t>生活污水由</w:t>
                  </w:r>
                  <w:r>
                    <w:rPr>
                      <w:rFonts w:hint="eastAsia" w:ascii="Times New Roman" w:hAnsi="Times New Roman" w:cs="Times New Roman"/>
                      <w:color w:val="000000"/>
                      <w:sz w:val="21"/>
                      <w:szCs w:val="21"/>
                      <w:lang w:val="en-US" w:eastAsia="zh-CN" w:bidi="ar-SA"/>
                    </w:rPr>
                    <w:t>化粪池</w:t>
                  </w:r>
                  <w:r>
                    <w:rPr>
                      <w:rFonts w:hint="default" w:ascii="Times New Roman" w:hAnsi="Times New Roman" w:cs="Times New Roman" w:eastAsiaTheme="minorEastAsia"/>
                      <w:color w:val="000000"/>
                      <w:sz w:val="21"/>
                      <w:szCs w:val="21"/>
                      <w:lang w:val="en-US" w:eastAsia="zh-CN" w:bidi="ar-SA"/>
                    </w:rPr>
                    <w:t>处理后，</w:t>
                  </w:r>
                  <w:r>
                    <w:rPr>
                      <w:rFonts w:hint="eastAsia" w:ascii="Times New Roman" w:hAnsi="Times New Roman" w:cs="Times New Roman"/>
                      <w:color w:val="000000"/>
                      <w:sz w:val="21"/>
                      <w:szCs w:val="21"/>
                      <w:lang w:val="en-US" w:eastAsia="zh-CN" w:bidi="ar-SA"/>
                    </w:rPr>
                    <w:t>排入</w:t>
                  </w:r>
                  <w:r>
                    <w:rPr>
                      <w:rFonts w:hint="default" w:ascii="Times New Roman" w:hAnsi="Times New Roman" w:cs="Times New Roman" w:eastAsiaTheme="minorEastAsia"/>
                      <w:color w:val="000000"/>
                      <w:sz w:val="21"/>
                      <w:szCs w:val="21"/>
                      <w:lang w:val="en-US" w:eastAsia="zh-CN" w:bidi="ar-SA"/>
                    </w:rPr>
                    <w:t>汪溪殷白拓展区污水处理站，处理达标后尾水排入</w:t>
                  </w:r>
                  <w:r>
                    <w:rPr>
                      <w:rFonts w:hint="eastAsia" w:ascii="Times New Roman" w:hAnsi="Times New Roman" w:cs="Times New Roman"/>
                      <w:color w:val="000000"/>
                      <w:sz w:val="21"/>
                      <w:szCs w:val="21"/>
                      <w:lang w:val="en-US" w:eastAsia="zh-CN" w:bidi="ar-SA"/>
                    </w:rPr>
                    <w:t>水阳江</w:t>
                  </w:r>
                  <w:r>
                    <w:rPr>
                      <w:rFonts w:hint="default" w:ascii="Times New Roman" w:hAnsi="Times New Roman" w:cs="Times New Roman" w:eastAsiaTheme="minorEastAsia"/>
                      <w:color w:val="000000"/>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运营期厂界噪声执行《工业企业厂界环境噪声排放标准》(GB12348-2008)中的3类标准。</w:t>
                  </w:r>
                </w:p>
              </w:tc>
              <w:tc>
                <w:tcPr>
                  <w:tcW w:w="265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采取减震、隔声措施，并合理布置生产车间内的设备降低噪声对环境的影响。厂界噪声满足《工业企业厂界环境噪声排放标准》（GB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该项目固体废弃物执行《一般工业固体废弃物贮存、处置场污染控制标准》 (GB18599-2001)及其修改单；危险废物执行《危险废物贮存污染控制标准》 (GB18597-2001)及其修改单。</w:t>
                  </w:r>
                </w:p>
              </w:tc>
              <w:tc>
                <w:tcPr>
                  <w:tcW w:w="265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每个生产车间均配有一个10m</w:t>
                  </w:r>
                  <w:r>
                    <w:rPr>
                      <w:rFonts w:hint="eastAsia" w:ascii="Times New Roman" w:hAnsi="Times New Roman" w:cs="Times New Roman"/>
                      <w:color w:val="000000"/>
                      <w:sz w:val="21"/>
                      <w:szCs w:val="21"/>
                      <w:vertAlign w:val="superscript"/>
                      <w:lang w:val="en-US" w:eastAsia="zh-CN" w:bidi="ar-SA"/>
                    </w:rPr>
                    <w:t>2</w:t>
                  </w:r>
                  <w:r>
                    <w:rPr>
                      <w:rFonts w:hint="eastAsia" w:ascii="Times New Roman" w:hAnsi="Times New Roman" w:cs="Times New Roman"/>
                      <w:color w:val="000000"/>
                      <w:sz w:val="21"/>
                      <w:szCs w:val="21"/>
                      <w:lang w:val="en-US" w:eastAsia="zh-CN" w:bidi="ar-SA"/>
                    </w:rPr>
                    <w:t>的一般固废间，用于一般固废的暂存。</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新建一间危废暂存间10m</w:t>
                  </w:r>
                  <w:r>
                    <w:rPr>
                      <w:rFonts w:hint="eastAsia" w:ascii="Times New Roman" w:hAnsi="Times New Roman" w:cs="Times New Roman"/>
                      <w:color w:val="000000"/>
                      <w:sz w:val="21"/>
                      <w:szCs w:val="21"/>
                      <w:vertAlign w:val="superscript"/>
                      <w:lang w:val="en-US" w:eastAsia="zh-CN" w:bidi="ar-SA"/>
                    </w:rPr>
                    <w:t>2</w:t>
                  </w:r>
                  <w:r>
                    <w:rPr>
                      <w:rFonts w:hint="eastAsia" w:ascii="Times New Roman" w:hAnsi="Times New Roman" w:cs="Times New Roman"/>
                      <w:color w:val="000000"/>
                      <w:sz w:val="21"/>
                      <w:szCs w:val="21"/>
                      <w:lang w:val="en-US" w:eastAsia="zh-CN" w:bidi="ar-SA"/>
                    </w:rPr>
                    <w:t>，用于危废的存储。</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color w:val="000000"/>
                      <w:sz w:val="21"/>
                      <w:szCs w:val="21"/>
                      <w:lang w:val="en-US" w:eastAsia="zh-CN" w:bidi="ar-SA"/>
                    </w:rPr>
                    <w:t>生活垃圾由垃圾桶集中收集，收集后由环卫部门统一清运</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5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本次申请验收。</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 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④噪声检测方法按《环境监测技术规范（噪声部分）》（国家环保局，1986）和《工业企业厂界 环境噪声排放标准》（GB12348-2008）要求进行，采用等效声级Leq（A）值为进行了评价，各项质控措施和结果满足相关规范的要求。评价量，统计声级 L10、L50、L90作为依据，测量仪器为 HS6288E型精密噪声频谱分析仪，校准仪器为HS6020校准仪，测量仪器使用前后均进行校准，前、后校准示值偏差不大于0.5dB（A）检测时气象条件满足检测技术要求，从而确保了检测数据的代表性、可靠性。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表10-1 废水监测内容一览表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3810"/>
              <w:gridCol w:w="2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3"/>
                    <w:spacing w:line="240" w:lineRule="auto"/>
                    <w:jc w:val="center"/>
                    <w:rPr>
                      <w:rFonts w:hint="default" w:ascii="Times New Roman" w:hAnsi="Times New Roman" w:cs="Times New Roman"/>
                      <w:lang w:val="en-US" w:eastAsia="zh-CN"/>
                    </w:rPr>
                  </w:pPr>
                  <w:bookmarkStart w:id="2" w:name="_Toc5005"/>
                  <w:r>
                    <w:rPr>
                      <w:rFonts w:hint="eastAsia" w:ascii="Times New Roman" w:hAnsi="Times New Roman" w:cs="Times New Roman"/>
                      <w:lang w:val="en-US" w:eastAsia="zh-CN"/>
                    </w:rPr>
                    <w:t>生活</w:t>
                  </w:r>
                  <w:r>
                    <w:rPr>
                      <w:rFonts w:hint="default" w:ascii="Times New Roman" w:hAnsi="Times New Roman" w:cs="Times New Roman"/>
                      <w:lang w:val="en-US" w:eastAsia="zh-CN"/>
                    </w:rPr>
                    <w:t>污水排口</w:t>
                  </w:r>
                </w:p>
              </w:tc>
              <w:tc>
                <w:tcPr>
                  <w:tcW w:w="3822" w:type="dxa"/>
                  <w:tcBorders>
                    <w:tl2br w:val="nil"/>
                    <w:tr2bl w:val="nil"/>
                  </w:tcBorders>
                  <w:noWrap w:val="0"/>
                  <w:vAlign w:val="center"/>
                </w:tcPr>
                <w:p>
                  <w:pPr>
                    <w:pStyle w:val="23"/>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p>
              </w:tc>
              <w:tc>
                <w:tcPr>
                  <w:tcW w:w="2449" w:type="dxa"/>
                  <w:tcBorders>
                    <w:tl2br w:val="nil"/>
                    <w:tr2bl w:val="nil"/>
                  </w:tcBorders>
                  <w:noWrap w:val="0"/>
                  <w:vAlign w:val="center"/>
                </w:tcPr>
                <w:p>
                  <w:pPr>
                    <w:pStyle w:val="23"/>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1</w:t>
                  </w:r>
                  <w:r>
                    <w:rPr>
                      <w:rFonts w:hint="default" w:ascii="Times New Roman" w:hAnsi="Times New Roman" w:cs="Times New Roman"/>
                    </w:rPr>
                    <w:t>点/</w:t>
                  </w:r>
                  <w:r>
                    <w:rPr>
                      <w:rFonts w:hint="eastAsia"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 厂界噪声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噪声监测内容一览表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00"/>
              <w:gridCol w:w="2258"/>
              <w:gridCol w:w="2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val="en-US" w:eastAsia="zh-CN"/>
              </w:rPr>
              <w:t>、废水：</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w:t>
            </w:r>
            <w:r>
              <w:rPr>
                <w:rFonts w:hint="default" w:ascii="Times New Roman" w:hAnsi="Times New Roman" w:eastAsia="宋体" w:cs="Times New Roman"/>
                <w:color w:val="000000"/>
                <w:sz w:val="24"/>
                <w:szCs w:val="24"/>
                <w:lang w:val="en-US" w:eastAsia="zh-CN"/>
              </w:rPr>
              <w:t>排放满足</w:t>
            </w:r>
            <w:r>
              <w:rPr>
                <w:rFonts w:hint="default" w:ascii="Times New Roman" w:hAnsi="Times New Roman" w:eastAsia="宋体" w:cs="Times New Roman"/>
                <w:bCs/>
                <w:color w:val="auto"/>
                <w:sz w:val="24"/>
                <w:szCs w:val="24"/>
                <w:lang w:eastAsia="zh-CN"/>
              </w:rPr>
              <w:t>《污水综合排放标准》（</w:t>
            </w:r>
            <w:r>
              <w:rPr>
                <w:rFonts w:hint="default" w:ascii="Times New Roman" w:hAnsi="Times New Roman" w:eastAsia="宋体" w:cs="Times New Roman"/>
                <w:bCs/>
                <w:color w:val="auto"/>
                <w:sz w:val="24"/>
                <w:szCs w:val="24"/>
                <w:lang w:val="en-US" w:eastAsia="zh-CN"/>
              </w:rPr>
              <w:t>GB8978-1996</w:t>
            </w:r>
            <w:r>
              <w:rPr>
                <w:rFonts w:hint="default" w:ascii="Times New Roman" w:hAnsi="Times New Roman" w:eastAsia="宋体" w:cs="Times New Roman"/>
                <w:bCs/>
                <w:color w:val="auto"/>
                <w:sz w:val="24"/>
                <w:szCs w:val="24"/>
                <w:lang w:eastAsia="zh-CN"/>
              </w:rPr>
              <w:t>）表</w:t>
            </w:r>
            <w:r>
              <w:rPr>
                <w:rFonts w:hint="default" w:ascii="Times New Roman" w:hAnsi="Times New Roman" w:eastAsia="宋体" w:cs="Times New Roman"/>
                <w:bCs/>
                <w:color w:val="auto"/>
                <w:sz w:val="24"/>
                <w:szCs w:val="24"/>
                <w:lang w:val="en-US" w:eastAsia="zh-CN"/>
              </w:rPr>
              <w:t>4中三级标准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1-1 </w:t>
            </w:r>
            <w:r>
              <w:rPr>
                <w:rFonts w:hint="default" w:ascii="Times New Roman" w:hAnsi="Times New Roman" w:eastAsia="宋体" w:cs="Times New Roman"/>
                <w:b/>
                <w:bCs/>
                <w:color w:val="000000"/>
                <w:sz w:val="21"/>
                <w:szCs w:val="21"/>
                <w:lang w:val="en-US" w:eastAsia="zh-CN"/>
              </w:rPr>
              <w:t>废水检测结果</w:t>
            </w:r>
          </w:p>
          <w:tbl>
            <w:tblPr>
              <w:tblStyle w:val="15"/>
              <w:tblW w:w="87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305"/>
              <w:gridCol w:w="1014"/>
              <w:gridCol w:w="958"/>
              <w:gridCol w:w="55"/>
              <w:gridCol w:w="1014"/>
              <w:gridCol w:w="1015"/>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采样时间</w:t>
                  </w: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2023.02.17</w:t>
                  </w:r>
                </w:p>
              </w:tc>
              <w:tc>
                <w:tcPr>
                  <w:tcW w:w="19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分析日期</w:t>
                  </w:r>
                </w:p>
              </w:tc>
              <w:tc>
                <w:tcPr>
                  <w:tcW w:w="2971" w:type="dxa"/>
                  <w:gridSpan w:val="4"/>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2023.02.17</w:t>
                  </w:r>
                  <w:r>
                    <w:rPr>
                      <w:rFonts w:hint="default" w:ascii="Times New Roman" w:hAnsi="Times New Roman" w:eastAsia="宋体" w:cs="Times New Roman"/>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2023.02.22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vertAlign w:val="baseline"/>
                      <w:lang w:val="en-US" w:eastAsia="zh-CN"/>
                    </w:rPr>
                    <w:t>样品名称</w:t>
                  </w:r>
                </w:p>
              </w:tc>
              <w:tc>
                <w:tcPr>
                  <w:tcW w:w="230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056"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887"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887"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pH值</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7.8</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7.8</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7.7</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氨氮</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1.09</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1.12</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1.11</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1.11</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21</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25</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COD</w:t>
                  </w:r>
                  <w:r>
                    <w:rPr>
                      <w:rFonts w:hint="default" w:ascii="Times New Roman" w:hAnsi="Times New Roman" w:eastAsia="宋体" w:cs="Times New Roman"/>
                      <w:b w:val="0"/>
                      <w:bCs w:val="0"/>
                      <w:kern w:val="2"/>
                      <w:sz w:val="21"/>
                      <w:szCs w:val="21"/>
                      <w:vertAlign w:val="subscript"/>
                      <w:lang w:val="en-US" w:eastAsia="zh-CN" w:bidi="ar-SA"/>
                    </w:rPr>
                    <w:t>cr</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49</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60</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57</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55</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BOD</w:t>
                  </w:r>
                  <w:r>
                    <w:rPr>
                      <w:rFonts w:hint="default" w:ascii="Times New Roman" w:hAnsi="Times New Roman" w:eastAsia="宋体" w:cs="Times New Roman"/>
                      <w:b w:val="0"/>
                      <w:bCs w:val="0"/>
                      <w:sz w:val="21"/>
                      <w:szCs w:val="21"/>
                      <w:vertAlign w:val="subscript"/>
                      <w:lang w:val="en-US" w:eastAsia="zh-CN"/>
                    </w:rPr>
                    <w:t>5</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16.5</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18.5</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17.2</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17.4</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噪声检测结果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3"/>
              <w:gridCol w:w="1343"/>
              <w:gridCol w:w="1343"/>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检测结果</w:t>
                  </w:r>
                </w:p>
              </w:tc>
              <w:tc>
                <w:tcPr>
                  <w:tcW w:w="1037" w:type="pct"/>
                  <w:vMerge w:val="restart"/>
                  <w:tcBorders>
                    <w:top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检测点位</w:t>
                  </w:r>
                </w:p>
              </w:tc>
              <w:tc>
                <w:tcPr>
                  <w:tcW w:w="3083" w:type="pct"/>
                  <w:gridSpan w:val="4"/>
                  <w:tcBorders>
                    <w:top w:val="single" w:color="auto" w:sz="12"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268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2023.02.17</w:t>
                  </w:r>
                </w:p>
              </w:tc>
              <w:tc>
                <w:tcPr>
                  <w:tcW w:w="2693" w:type="dxa"/>
                  <w:gridSpan w:val="2"/>
                  <w:tcBorders>
                    <w:right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2023.02.18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3" w:type="pct"/>
                  <w:tcBorders>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1#东</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58.1</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46.5</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58.6</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57.8</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48.5</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58.1</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3#西</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56.6</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45.9</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56.2</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59.8</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48.4</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59.2</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6" w:type="pct"/>
                  <w:gridSpan w:val="2"/>
                  <w:tcBorders>
                    <w:left w:val="single" w:color="auto" w:sz="4" w:space="0"/>
                    <w:bottom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气相条件</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3083" w:type="pct"/>
                  <w:gridSpan w:val="4"/>
                  <w:tcBorders>
                    <w:bottom w:val="single" w:color="auto" w:sz="12"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昼：多云 夜：多云</w:t>
                  </w:r>
                </w:p>
              </w:tc>
            </w:tr>
          </w:tbl>
          <w:p>
            <w:pPr>
              <w:pStyle w:val="2"/>
              <w:spacing w:line="360" w:lineRule="auto"/>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eastAsia"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lang w:val="en-US" w:eastAsia="zh-CN"/>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总量核算表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49"/>
              <w:gridCol w:w="1449"/>
              <w:gridCol w:w="1567"/>
              <w:gridCol w:w="1332"/>
              <w:gridCol w:w="14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9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765"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w:t>
                  </w:r>
                  <w:r>
                    <w:rPr>
                      <w:rFonts w:hint="default" w:ascii="Times New Roman" w:hAnsi="Times New Roman" w:cs="Times New Roman"/>
                      <w:sz w:val="21"/>
                      <w:szCs w:val="21"/>
                      <w:lang w:val="en-US" w:eastAsia="zh-CN"/>
                    </w:rPr>
                    <w:t>mg/L</w:t>
                  </w:r>
                </w:p>
              </w:tc>
              <w:tc>
                <w:tcPr>
                  <w:tcW w:w="832" w:type="pct"/>
                  <w:vMerge w:val="restar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510</w:t>
                  </w:r>
                  <w:r>
                    <w:rPr>
                      <w:rFonts w:hint="default" w:ascii="Times New Roman" w:hAnsi="Times New Roman" w:cs="Times New Roman"/>
                      <w:sz w:val="21"/>
                      <w:szCs w:val="21"/>
                      <w:lang w:val="en-US" w:eastAsia="zh-CN"/>
                    </w:rPr>
                    <w:t>t/a</w:t>
                  </w:r>
                </w:p>
              </w:tc>
              <w:tc>
                <w:tcPr>
                  <w:tcW w:w="9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0.028</w:t>
                  </w:r>
                  <w:r>
                    <w:rPr>
                      <w:rFonts w:hint="default" w:ascii="Times New Roman" w:hAnsi="Times New Roman" w:cs="Times New Roman"/>
                      <w:sz w:val="21"/>
                      <w:szCs w:val="21"/>
                      <w:lang w:val="en-US" w:eastAsia="zh-CN"/>
                    </w:rPr>
                    <w:t>t/a</w:t>
                  </w:r>
                </w:p>
              </w:tc>
              <w:tc>
                <w:tcPr>
                  <w:tcW w:w="765"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17.4</w:t>
                  </w:r>
                  <w:r>
                    <w:rPr>
                      <w:rFonts w:hint="default" w:ascii="Times New Roman" w:hAnsi="Times New Roman" w:cs="Times New Roman"/>
                      <w:sz w:val="21"/>
                      <w:szCs w:val="21"/>
                      <w:lang w:val="en-US" w:eastAsia="zh-CN"/>
                    </w:rPr>
                    <w:t>mg/L</w:t>
                  </w:r>
                </w:p>
              </w:tc>
              <w:tc>
                <w:tcPr>
                  <w:tcW w:w="832" w:type="pct"/>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9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0.008</w:t>
                  </w:r>
                  <w:r>
                    <w:rPr>
                      <w:rFonts w:hint="default" w:ascii="Times New Roman" w:hAnsi="Times New Roman" w:cs="Times New Roman"/>
                      <w:sz w:val="21"/>
                      <w:szCs w:val="21"/>
                      <w:lang w:val="en-US" w:eastAsia="zh-CN"/>
                    </w:rPr>
                    <w:t>t/a</w:t>
                  </w:r>
                </w:p>
              </w:tc>
              <w:tc>
                <w:tcPr>
                  <w:tcW w:w="765"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271395" cy="3030855"/>
                  <wp:effectExtent l="0" t="0" r="14605" b="17145"/>
                  <wp:docPr id="2" name="图片 2" descr="E:\福华\福华纺织完整12.23\微信图片_20230509085723.jpg微信图片_202305090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福华\福华纺织完整12.23\微信图片_20230509085723.jpg微信图片_20230509085723"/>
                          <pic:cNvPicPr>
                            <a:picLocks noChangeAspect="1"/>
                          </pic:cNvPicPr>
                        </pic:nvPicPr>
                        <pic:blipFill>
                          <a:blip r:embed="rId14"/>
                          <a:srcRect/>
                          <a:stretch>
                            <a:fillRect/>
                          </a:stretch>
                        </pic:blipFill>
                        <pic:spPr>
                          <a:xfrm>
                            <a:off x="0" y="0"/>
                            <a:ext cx="2271395" cy="303085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2340610" cy="1755775"/>
                  <wp:effectExtent l="0" t="0" r="2540" b="15875"/>
                  <wp:docPr id="4" name="图片 4" descr="E:\福华\福华纺织完整12.23\微信图片_20230509085744.jpg微信图片_202305090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福华\福华纺织完整12.23\微信图片_20230509085744.jpg微信图片_20230509085744"/>
                          <pic:cNvPicPr>
                            <a:picLocks noChangeAspect="1"/>
                          </pic:cNvPicPr>
                        </pic:nvPicPr>
                        <pic:blipFill>
                          <a:blip r:embed="rId15"/>
                          <a:srcRect/>
                          <a:stretch>
                            <a:fillRect/>
                          </a:stretch>
                        </pic:blipFill>
                        <pic:spPr>
                          <a:xfrm>
                            <a:off x="0" y="0"/>
                            <a:ext cx="2340610" cy="1755775"/>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343785" cy="1757680"/>
                  <wp:effectExtent l="0" t="0" r="18415" b="13970"/>
                  <wp:docPr id="1" name="图片 1" descr="微信图片_2023050908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09085741"/>
                          <pic:cNvPicPr>
                            <a:picLocks noChangeAspect="1"/>
                          </pic:cNvPicPr>
                        </pic:nvPicPr>
                        <pic:blipFill>
                          <a:blip r:embed="rId16"/>
                          <a:stretch>
                            <a:fillRect/>
                          </a:stretch>
                        </pic:blipFill>
                        <pic:spPr>
                          <a:xfrm>
                            <a:off x="0" y="0"/>
                            <a:ext cx="2343785" cy="1757680"/>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338705" cy="1753870"/>
                  <wp:effectExtent l="0" t="0" r="4445" b="17780"/>
                  <wp:docPr id="11" name="图片 11" descr="微信图片_2023050908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509085737"/>
                          <pic:cNvPicPr>
                            <a:picLocks noChangeAspect="1"/>
                          </pic:cNvPicPr>
                        </pic:nvPicPr>
                        <pic:blipFill>
                          <a:blip r:embed="rId17"/>
                          <a:stretch>
                            <a:fillRect/>
                          </a:stretch>
                        </pic:blipFill>
                        <pic:spPr>
                          <a:xfrm>
                            <a:off x="0" y="0"/>
                            <a:ext cx="2338705" cy="1753870"/>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354580" cy="1765935"/>
                  <wp:effectExtent l="0" t="0" r="7620" b="5715"/>
                  <wp:docPr id="12" name="图片 12" descr="微信图片_2023050908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509085733"/>
                          <pic:cNvPicPr>
                            <a:picLocks noChangeAspect="1"/>
                          </pic:cNvPicPr>
                        </pic:nvPicPr>
                        <pic:blipFill>
                          <a:blip r:embed="rId18"/>
                          <a:stretch>
                            <a:fillRect/>
                          </a:stretch>
                        </pic:blipFill>
                        <pic:spPr>
                          <a:xfrm>
                            <a:off x="0" y="0"/>
                            <a:ext cx="2354580" cy="176593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生活污水</w:t>
            </w:r>
            <w:r>
              <w:rPr>
                <w:rFonts w:hint="default" w:ascii="Times New Roman" w:hAnsi="Times New Roman" w:cs="Times New Roman"/>
                <w:color w:val="auto"/>
                <w:kern w:val="0"/>
                <w:sz w:val="24"/>
                <w:lang w:eastAsia="zh-CN"/>
              </w:rPr>
              <w:t>中主要污染物排放浓度满足《污水综合排放标准》（</w:t>
            </w:r>
            <w:r>
              <w:rPr>
                <w:rFonts w:hint="default" w:ascii="Times New Roman" w:hAnsi="Times New Roman" w:cs="Times New Roman"/>
                <w:color w:val="auto"/>
                <w:kern w:val="0"/>
                <w:sz w:val="24"/>
                <w:lang w:val="en-US" w:eastAsia="zh-CN"/>
              </w:rPr>
              <w:t>GB8978-96</w:t>
            </w:r>
            <w:r>
              <w:rPr>
                <w:rFonts w:hint="default" w:ascii="Times New Roman" w:hAnsi="Times New Roman" w:cs="Times New Roman"/>
                <w:color w:val="auto"/>
                <w:kern w:val="0"/>
                <w:sz w:val="24"/>
                <w:lang w:eastAsia="zh-CN"/>
              </w:rPr>
              <w:t>）表</w:t>
            </w:r>
            <w:r>
              <w:rPr>
                <w:rFonts w:hint="default" w:ascii="Times New Roman" w:hAnsi="Times New Roman" w:cs="Times New Roman"/>
                <w:color w:val="auto"/>
                <w:kern w:val="0"/>
                <w:sz w:val="24"/>
                <w:lang w:val="en-US" w:eastAsia="zh-CN"/>
              </w:rPr>
              <w:t>4中</w:t>
            </w:r>
            <w:r>
              <w:rPr>
                <w:rFonts w:hint="eastAsia" w:ascii="Times New Roman" w:hAnsi="Times New Roman" w:cs="Times New Roman"/>
                <w:color w:val="auto"/>
                <w:kern w:val="0"/>
                <w:sz w:val="24"/>
                <w:lang w:val="en-US" w:eastAsia="zh-CN"/>
              </w:rPr>
              <w:t>三</w:t>
            </w:r>
            <w:r>
              <w:rPr>
                <w:rFonts w:hint="default" w:ascii="Times New Roman" w:hAnsi="Times New Roman" w:cs="Times New Roman"/>
                <w:color w:val="auto"/>
                <w:kern w:val="0"/>
                <w:sz w:val="24"/>
                <w:lang w:val="en-US" w:eastAsia="zh-CN"/>
              </w:rPr>
              <w:t>级标准</w:t>
            </w:r>
            <w:r>
              <w:rPr>
                <w:rFonts w:hint="eastAsia"/>
                <w:bCs/>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、固废：</w:t>
            </w:r>
            <w:r>
              <w:rPr>
                <w:rFonts w:hint="eastAsia" w:ascii="Times New Roman" w:hAnsi="Times New Roman" w:eastAsia="宋体" w:cs="Times New Roman"/>
                <w:b w:val="0"/>
                <w:bCs w:val="0"/>
                <w:color w:val="auto"/>
                <w:sz w:val="24"/>
                <w:szCs w:val="24"/>
                <w:lang w:eastAsia="zh-CN"/>
              </w:rPr>
              <w:t>项目产生的固废主要包括一般固废、危险废物及生活垃圾。项目产生的固废主要包括一般固废、危险废物及生活垃圾。一般固废有废涤纶纱、边角料、不合格坯布、废包装材料、污水处理站污泥，危险废物有废机油、废机油桶，收集后交有资质单位处置。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生活污水排入汪溪殷白拓展区污水处理站，NH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总量本次验收不核算</w:t>
            </w:r>
            <w:r>
              <w:rPr>
                <w:rFonts w:hint="default" w:ascii="Times New Roman" w:hAnsi="Times New Roman" w:eastAsia="宋体" w:cs="Times New Roman"/>
                <w:color w:val="000000"/>
                <w:sz w:val="24"/>
                <w:szCs w:val="24"/>
                <w:lang w:val="en-US" w:eastAsia="zh-CN"/>
              </w:rPr>
              <w:t>。</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814"/>
        <w:gridCol w:w="358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8" w:type="dxa"/>
            <w:gridSpan w:val="4"/>
            <w:noWrap w:val="0"/>
            <w:vAlign w:val="center"/>
          </w:tcPr>
          <w:p>
            <w:pPr>
              <w:pStyle w:val="3"/>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000000"/>
                <w:sz w:val="21"/>
                <w:szCs w:val="21"/>
                <w:lang w:val="en-US" w:eastAsia="zh-CN"/>
              </w:rPr>
              <w:t>宁国市福华纺织有限公司年产1亿米坯布项目验收现场及监测报告专家评审意见整改情况表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3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专家意见</w:t>
            </w:r>
          </w:p>
        </w:tc>
        <w:tc>
          <w:tcPr>
            <w:tcW w:w="3580"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落实情况</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3814"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核实原辅材料及能源消耗、生产工艺流程、产污节点</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核实项目环保投资</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核实项目有无出现重大变动，敏感环境保护目标有无变化，附生产工序部分 (整经、上浆、烘干、并轴) 外协协议。</w:t>
            </w:r>
          </w:p>
        </w:tc>
        <w:tc>
          <w:tcPr>
            <w:tcW w:w="3580"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原辅材料及能源消耗、生产工艺流程、产污节点</w:t>
            </w:r>
            <w:r>
              <w:rPr>
                <w:rFonts w:hint="eastAsia" w:ascii="Times New Roman" w:hAnsi="Times New Roman" w:eastAsia="宋体"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核实</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项目环保投资</w:t>
            </w:r>
            <w:r>
              <w:rPr>
                <w:rFonts w:hint="eastAsia" w:ascii="Times New Roman" w:hAnsi="Times New Roman" w:eastAsia="宋体"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核实</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项目无重大变动，敏感环境保护目标无变化，生产工序外协协议</w:t>
            </w:r>
            <w:r>
              <w:rPr>
                <w:rFonts w:hint="eastAsia" w:ascii="Times New Roman" w:hAnsi="Times New Roman" w:eastAsia="宋体" w:cs="Times New Roman"/>
                <w:b w:val="0"/>
                <w:bCs w:val="0"/>
                <w:color w:val="auto"/>
                <w:kern w:val="2"/>
                <w:sz w:val="21"/>
                <w:szCs w:val="21"/>
                <w:lang w:val="en-US" w:eastAsia="zh-CN" w:bidi="ar-SA"/>
              </w:rPr>
              <w:t>见附件</w:t>
            </w:r>
            <w:r>
              <w:rPr>
                <w:rFonts w:hint="default" w:ascii="Times New Roman" w:hAnsi="Times New Roman" w:eastAsia="宋体" w:cs="Times New Roman"/>
                <w:b w:val="0"/>
                <w:bCs w:val="0"/>
                <w:color w:val="auto"/>
                <w:kern w:val="2"/>
                <w:sz w:val="21"/>
                <w:szCs w:val="21"/>
                <w:lang w:val="en-US" w:eastAsia="zh-CN" w:bidi="ar-SA"/>
              </w:rPr>
              <w:t>。</w:t>
            </w:r>
          </w:p>
        </w:tc>
        <w:tc>
          <w:tcPr>
            <w:tcW w:w="895"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w:t>
            </w:r>
          </w:p>
        </w:tc>
        <w:tc>
          <w:tcPr>
            <w:tcW w:w="3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核实厂区污水分流进展和污水处理站运行效果，附处理工艺路线及药剂消耗台账和处理站相关参数，附生活污水污水纳管协议或证明，明确有无设置应急事故池要求</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完善危废暂存场所规范化建设，加快危险废物清运并建立去向台账，附有效的危废处置协议。</w:t>
            </w:r>
          </w:p>
        </w:tc>
        <w:tc>
          <w:tcPr>
            <w:tcW w:w="3580" w:type="dxa"/>
            <w:noWrap w:val="0"/>
            <w:vAlign w:val="center"/>
          </w:tcPr>
          <w:p>
            <w:pPr>
              <w:pStyle w:val="4"/>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已补充污水处理站</w:t>
            </w:r>
            <w:r>
              <w:rPr>
                <w:rFonts w:hint="default" w:ascii="Times New Roman" w:hAnsi="Times New Roman" w:eastAsia="宋体" w:cs="Times New Roman"/>
                <w:b w:val="0"/>
                <w:bCs w:val="0"/>
                <w:sz w:val="21"/>
                <w:szCs w:val="21"/>
                <w:vertAlign w:val="baseline"/>
                <w:lang w:val="en-US" w:eastAsia="zh-CN"/>
              </w:rPr>
              <w:t>处理工艺路线和相关参数</w:t>
            </w:r>
            <w:r>
              <w:rPr>
                <w:rFonts w:hint="eastAsia" w:cs="Times New Roman"/>
                <w:b w:val="0"/>
                <w:bCs w:val="0"/>
                <w:sz w:val="21"/>
                <w:szCs w:val="21"/>
                <w:vertAlign w:val="baseline"/>
                <w:lang w:val="en-US" w:eastAsia="zh-CN"/>
              </w:rPr>
              <w:t>；本项目无应急事故池要求；危废库已按规范建设，见附图，危废处置协议见附件。</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3</w:t>
            </w:r>
          </w:p>
        </w:tc>
        <w:tc>
          <w:tcPr>
            <w:tcW w:w="3814"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强化厂区现场环境管理，对车间内外地面、雨污管网定期进行环境清理，持续改善环境</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完善相关场所环保标识和总平面布置图、厂区雨污管网图</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完善项目竣工环保验收登记表</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规范采样口，完善所有环保设施和现场监测图片</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规范图表，勘误文字。</w:t>
            </w:r>
          </w:p>
        </w:tc>
        <w:tc>
          <w:tcPr>
            <w:tcW w:w="3580" w:type="dxa"/>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相关标识</w:t>
            </w:r>
            <w:r>
              <w:rPr>
                <w:rFonts w:hint="eastAsia" w:ascii="Times New Roman" w:hAnsi="Times New Roman" w:eastAsia="宋体" w:cs="Times New Roman"/>
                <w:b w:val="0"/>
                <w:bCs w:val="0"/>
                <w:sz w:val="21"/>
                <w:szCs w:val="21"/>
                <w:vertAlign w:val="baseline"/>
                <w:lang w:val="en-US" w:eastAsia="zh-CN"/>
              </w:rPr>
              <w:t>标牌已</w:t>
            </w:r>
            <w:r>
              <w:rPr>
                <w:rFonts w:hint="default" w:ascii="Times New Roman" w:hAnsi="Times New Roman" w:eastAsia="宋体" w:cs="Times New Roman"/>
                <w:b w:val="0"/>
                <w:bCs w:val="0"/>
                <w:sz w:val="21"/>
                <w:szCs w:val="21"/>
                <w:vertAlign w:val="baseline"/>
                <w:lang w:val="en-US" w:eastAsia="zh-CN"/>
              </w:rPr>
              <w:t>完善</w:t>
            </w:r>
            <w:r>
              <w:rPr>
                <w:rFonts w:hint="eastAsia" w:cs="Times New Roman"/>
                <w:b w:val="0"/>
                <w:bCs w:val="0"/>
                <w:sz w:val="21"/>
                <w:szCs w:val="21"/>
                <w:vertAlign w:val="baseline"/>
                <w:lang w:val="en-US" w:eastAsia="zh-CN"/>
              </w:rPr>
              <w:t>，平面布置图、雨污管网图已补充。</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bl>
    <w:p>
      <w:pPr>
        <w:pStyle w:val="3"/>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年产1亿米坯布项目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宁国市汪溪办事处殷白村</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C1751化纤织造加工</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年产1亿米坯布项目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年产1亿米坯布项目</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安徽资环环境工程有限公司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审批[2019]160</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2020.1</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2023.3</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2020.05.28</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宁国市福华纺织有限公司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宁国市福华纺织有限公司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91341881MA2TDAMW7H001P</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14880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422</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2.84</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14000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255</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1.82</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200</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3</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5</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931"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931"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931"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07D3A79"/>
    <w:rsid w:val="014F5A3E"/>
    <w:rsid w:val="016B574D"/>
    <w:rsid w:val="01C40E02"/>
    <w:rsid w:val="01D61EE2"/>
    <w:rsid w:val="01E655BB"/>
    <w:rsid w:val="022E6257"/>
    <w:rsid w:val="02344ABF"/>
    <w:rsid w:val="02A47DC0"/>
    <w:rsid w:val="045E30EF"/>
    <w:rsid w:val="04E60D23"/>
    <w:rsid w:val="054C5B3F"/>
    <w:rsid w:val="05880459"/>
    <w:rsid w:val="05D31F43"/>
    <w:rsid w:val="06603E17"/>
    <w:rsid w:val="0666397F"/>
    <w:rsid w:val="069B2A76"/>
    <w:rsid w:val="069B5E85"/>
    <w:rsid w:val="06C23411"/>
    <w:rsid w:val="078D266F"/>
    <w:rsid w:val="07AC0474"/>
    <w:rsid w:val="0825716F"/>
    <w:rsid w:val="08872A6F"/>
    <w:rsid w:val="08AA0601"/>
    <w:rsid w:val="08C95AC7"/>
    <w:rsid w:val="08EA4DFE"/>
    <w:rsid w:val="09185DF8"/>
    <w:rsid w:val="09282E44"/>
    <w:rsid w:val="094D02E9"/>
    <w:rsid w:val="09B0435A"/>
    <w:rsid w:val="09E238CF"/>
    <w:rsid w:val="0B23010C"/>
    <w:rsid w:val="0B59550C"/>
    <w:rsid w:val="0BA8417F"/>
    <w:rsid w:val="0C590D9F"/>
    <w:rsid w:val="0CC04E4F"/>
    <w:rsid w:val="0CC65D86"/>
    <w:rsid w:val="0D557D45"/>
    <w:rsid w:val="0D902734"/>
    <w:rsid w:val="0DB86146"/>
    <w:rsid w:val="0DEE3065"/>
    <w:rsid w:val="0E0212CB"/>
    <w:rsid w:val="0E415563"/>
    <w:rsid w:val="0E416B70"/>
    <w:rsid w:val="0E8D7100"/>
    <w:rsid w:val="0EC96B65"/>
    <w:rsid w:val="0F132E0A"/>
    <w:rsid w:val="0F9E3EA7"/>
    <w:rsid w:val="10905347"/>
    <w:rsid w:val="1090632E"/>
    <w:rsid w:val="10DB57FB"/>
    <w:rsid w:val="11A9737A"/>
    <w:rsid w:val="11C539D3"/>
    <w:rsid w:val="11CF479B"/>
    <w:rsid w:val="11E3099C"/>
    <w:rsid w:val="11F552B3"/>
    <w:rsid w:val="121E094C"/>
    <w:rsid w:val="12475783"/>
    <w:rsid w:val="12B05302"/>
    <w:rsid w:val="130318C3"/>
    <w:rsid w:val="1337112D"/>
    <w:rsid w:val="13A22F75"/>
    <w:rsid w:val="13E14EB4"/>
    <w:rsid w:val="13EB21F9"/>
    <w:rsid w:val="14042D52"/>
    <w:rsid w:val="14261483"/>
    <w:rsid w:val="14A35063"/>
    <w:rsid w:val="14DA5A01"/>
    <w:rsid w:val="15082937"/>
    <w:rsid w:val="159C4FF4"/>
    <w:rsid w:val="15C22C76"/>
    <w:rsid w:val="160927B3"/>
    <w:rsid w:val="161D2412"/>
    <w:rsid w:val="16343DB8"/>
    <w:rsid w:val="16672939"/>
    <w:rsid w:val="18387A7B"/>
    <w:rsid w:val="18461C09"/>
    <w:rsid w:val="18855DF8"/>
    <w:rsid w:val="189746FE"/>
    <w:rsid w:val="18C7197B"/>
    <w:rsid w:val="19917896"/>
    <w:rsid w:val="1AD27C6F"/>
    <w:rsid w:val="1AF513F4"/>
    <w:rsid w:val="1B716AD1"/>
    <w:rsid w:val="1B854CE1"/>
    <w:rsid w:val="1BC97840"/>
    <w:rsid w:val="1BCA3B90"/>
    <w:rsid w:val="1BD92E92"/>
    <w:rsid w:val="1BE97B91"/>
    <w:rsid w:val="1BF157B5"/>
    <w:rsid w:val="1C3217C2"/>
    <w:rsid w:val="1C454150"/>
    <w:rsid w:val="1C4A2CFA"/>
    <w:rsid w:val="1C4A7CD9"/>
    <w:rsid w:val="1C835330"/>
    <w:rsid w:val="1CC27025"/>
    <w:rsid w:val="1CEB14BC"/>
    <w:rsid w:val="1E1C7453"/>
    <w:rsid w:val="1E365FE8"/>
    <w:rsid w:val="1E9304F0"/>
    <w:rsid w:val="1E93077E"/>
    <w:rsid w:val="1F0411B1"/>
    <w:rsid w:val="1F2137DB"/>
    <w:rsid w:val="1F3E1A2D"/>
    <w:rsid w:val="1F685ED8"/>
    <w:rsid w:val="1FD56C6F"/>
    <w:rsid w:val="2122022A"/>
    <w:rsid w:val="2138405D"/>
    <w:rsid w:val="2193671F"/>
    <w:rsid w:val="21FB71F9"/>
    <w:rsid w:val="226C7787"/>
    <w:rsid w:val="22726F55"/>
    <w:rsid w:val="22765464"/>
    <w:rsid w:val="228C07D3"/>
    <w:rsid w:val="22B75CFA"/>
    <w:rsid w:val="23BB080F"/>
    <w:rsid w:val="23CA32B4"/>
    <w:rsid w:val="23EB3172"/>
    <w:rsid w:val="249A2142"/>
    <w:rsid w:val="251D41DD"/>
    <w:rsid w:val="252B6F44"/>
    <w:rsid w:val="25C97EC1"/>
    <w:rsid w:val="27271343"/>
    <w:rsid w:val="28816909"/>
    <w:rsid w:val="2920429C"/>
    <w:rsid w:val="29567448"/>
    <w:rsid w:val="29704196"/>
    <w:rsid w:val="29A32D53"/>
    <w:rsid w:val="29E12E49"/>
    <w:rsid w:val="29FA2D3E"/>
    <w:rsid w:val="2A0E01F9"/>
    <w:rsid w:val="2A181E2C"/>
    <w:rsid w:val="2A2D2CA6"/>
    <w:rsid w:val="2A7A79DB"/>
    <w:rsid w:val="2AF43C32"/>
    <w:rsid w:val="2B1C0D0A"/>
    <w:rsid w:val="2C3D0CC9"/>
    <w:rsid w:val="2C894B1B"/>
    <w:rsid w:val="2CD42995"/>
    <w:rsid w:val="2D451035"/>
    <w:rsid w:val="2D736E31"/>
    <w:rsid w:val="2E8F3DE9"/>
    <w:rsid w:val="2EFC4E63"/>
    <w:rsid w:val="2F7D52E3"/>
    <w:rsid w:val="2F871FFF"/>
    <w:rsid w:val="2FA14FDC"/>
    <w:rsid w:val="30AA4DD4"/>
    <w:rsid w:val="30E221EB"/>
    <w:rsid w:val="31157D31"/>
    <w:rsid w:val="311B2283"/>
    <w:rsid w:val="31203028"/>
    <w:rsid w:val="31D4442C"/>
    <w:rsid w:val="322C1C7D"/>
    <w:rsid w:val="328525BE"/>
    <w:rsid w:val="334E041E"/>
    <w:rsid w:val="33C65A3F"/>
    <w:rsid w:val="3427629B"/>
    <w:rsid w:val="354427B1"/>
    <w:rsid w:val="35494B7A"/>
    <w:rsid w:val="35B531F5"/>
    <w:rsid w:val="35BC072C"/>
    <w:rsid w:val="36F4781C"/>
    <w:rsid w:val="37EB37D3"/>
    <w:rsid w:val="38002AE5"/>
    <w:rsid w:val="385F2C42"/>
    <w:rsid w:val="38BB3F25"/>
    <w:rsid w:val="3AC63082"/>
    <w:rsid w:val="3B531D3E"/>
    <w:rsid w:val="3BE96E33"/>
    <w:rsid w:val="3C3560F7"/>
    <w:rsid w:val="3C4C57C1"/>
    <w:rsid w:val="3E0C1200"/>
    <w:rsid w:val="3E733F03"/>
    <w:rsid w:val="3F650802"/>
    <w:rsid w:val="3F6856F2"/>
    <w:rsid w:val="3FC528DF"/>
    <w:rsid w:val="3FFD329E"/>
    <w:rsid w:val="400A1E7F"/>
    <w:rsid w:val="402B37FA"/>
    <w:rsid w:val="403B3CB1"/>
    <w:rsid w:val="404443F5"/>
    <w:rsid w:val="40B853F8"/>
    <w:rsid w:val="40E90629"/>
    <w:rsid w:val="411D58E5"/>
    <w:rsid w:val="411F6DE0"/>
    <w:rsid w:val="416D6975"/>
    <w:rsid w:val="4177481D"/>
    <w:rsid w:val="41D64FD5"/>
    <w:rsid w:val="420460B1"/>
    <w:rsid w:val="43896B9F"/>
    <w:rsid w:val="43B57B2B"/>
    <w:rsid w:val="43B63122"/>
    <w:rsid w:val="43E74188"/>
    <w:rsid w:val="444162D1"/>
    <w:rsid w:val="4447497A"/>
    <w:rsid w:val="446D7285"/>
    <w:rsid w:val="44B90502"/>
    <w:rsid w:val="453F29D6"/>
    <w:rsid w:val="45D62556"/>
    <w:rsid w:val="45F6020C"/>
    <w:rsid w:val="463F7FFF"/>
    <w:rsid w:val="46477F5C"/>
    <w:rsid w:val="46F75AF5"/>
    <w:rsid w:val="470C161A"/>
    <w:rsid w:val="473F3239"/>
    <w:rsid w:val="4776463B"/>
    <w:rsid w:val="477820F2"/>
    <w:rsid w:val="478B3F94"/>
    <w:rsid w:val="48223592"/>
    <w:rsid w:val="486836BC"/>
    <w:rsid w:val="487570F2"/>
    <w:rsid w:val="48767174"/>
    <w:rsid w:val="48DB3711"/>
    <w:rsid w:val="49E36DCB"/>
    <w:rsid w:val="4A46477D"/>
    <w:rsid w:val="4AB82869"/>
    <w:rsid w:val="4B67035B"/>
    <w:rsid w:val="4B8230CF"/>
    <w:rsid w:val="4BAC372A"/>
    <w:rsid w:val="4BBF4AA7"/>
    <w:rsid w:val="4C3919F3"/>
    <w:rsid w:val="4CBF5C1D"/>
    <w:rsid w:val="4CDA2300"/>
    <w:rsid w:val="4CE216E4"/>
    <w:rsid w:val="4CEF795D"/>
    <w:rsid w:val="4D510F81"/>
    <w:rsid w:val="4D9C0AC9"/>
    <w:rsid w:val="4DB85CAD"/>
    <w:rsid w:val="4E1116BB"/>
    <w:rsid w:val="4EB63D79"/>
    <w:rsid w:val="4EB8094F"/>
    <w:rsid w:val="4F641CE0"/>
    <w:rsid w:val="4F6B6B79"/>
    <w:rsid w:val="4FBA06F6"/>
    <w:rsid w:val="4FE377A5"/>
    <w:rsid w:val="50C82BFF"/>
    <w:rsid w:val="51B42592"/>
    <w:rsid w:val="5297543E"/>
    <w:rsid w:val="52A373D7"/>
    <w:rsid w:val="53043F39"/>
    <w:rsid w:val="532768AB"/>
    <w:rsid w:val="5353313C"/>
    <w:rsid w:val="5478527C"/>
    <w:rsid w:val="54F53F5F"/>
    <w:rsid w:val="55017D13"/>
    <w:rsid w:val="559F4A1E"/>
    <w:rsid w:val="56102E1E"/>
    <w:rsid w:val="56D31838"/>
    <w:rsid w:val="575817DD"/>
    <w:rsid w:val="578F19D1"/>
    <w:rsid w:val="59780A1D"/>
    <w:rsid w:val="598A0351"/>
    <w:rsid w:val="59CA479D"/>
    <w:rsid w:val="5A2E5F69"/>
    <w:rsid w:val="5AAC0973"/>
    <w:rsid w:val="5AC83331"/>
    <w:rsid w:val="5B572A27"/>
    <w:rsid w:val="5B9E2C7A"/>
    <w:rsid w:val="5BB64468"/>
    <w:rsid w:val="5BFA49FC"/>
    <w:rsid w:val="5C125734"/>
    <w:rsid w:val="5C547306"/>
    <w:rsid w:val="5CB16EEB"/>
    <w:rsid w:val="5CE15727"/>
    <w:rsid w:val="5D1C76A3"/>
    <w:rsid w:val="5D727AA1"/>
    <w:rsid w:val="5D9B691E"/>
    <w:rsid w:val="5ED879CC"/>
    <w:rsid w:val="5FB243AF"/>
    <w:rsid w:val="603C74D7"/>
    <w:rsid w:val="607D0DE1"/>
    <w:rsid w:val="61AA7629"/>
    <w:rsid w:val="624F2F20"/>
    <w:rsid w:val="62572E40"/>
    <w:rsid w:val="62A80882"/>
    <w:rsid w:val="63E17A54"/>
    <w:rsid w:val="649B069F"/>
    <w:rsid w:val="64B8292A"/>
    <w:rsid w:val="64D34A8B"/>
    <w:rsid w:val="6501540D"/>
    <w:rsid w:val="650859CD"/>
    <w:rsid w:val="652557D2"/>
    <w:rsid w:val="654B3E73"/>
    <w:rsid w:val="656A7099"/>
    <w:rsid w:val="65921F7B"/>
    <w:rsid w:val="65C46CD4"/>
    <w:rsid w:val="65DC2AB7"/>
    <w:rsid w:val="662B5A52"/>
    <w:rsid w:val="667E3DD4"/>
    <w:rsid w:val="668659BA"/>
    <w:rsid w:val="6704453E"/>
    <w:rsid w:val="671D5CC4"/>
    <w:rsid w:val="679F7CB4"/>
    <w:rsid w:val="67B328F2"/>
    <w:rsid w:val="684D3B04"/>
    <w:rsid w:val="6903288C"/>
    <w:rsid w:val="6A32554A"/>
    <w:rsid w:val="6A941E18"/>
    <w:rsid w:val="6AA31959"/>
    <w:rsid w:val="6AAA4812"/>
    <w:rsid w:val="6AB147DA"/>
    <w:rsid w:val="6AB26742"/>
    <w:rsid w:val="6AD36262"/>
    <w:rsid w:val="6AFE2335"/>
    <w:rsid w:val="6B036B0A"/>
    <w:rsid w:val="6B0D0BA7"/>
    <w:rsid w:val="6B1B7628"/>
    <w:rsid w:val="6B2910E1"/>
    <w:rsid w:val="6B4078AA"/>
    <w:rsid w:val="6B625A72"/>
    <w:rsid w:val="6B65663B"/>
    <w:rsid w:val="6BF67767"/>
    <w:rsid w:val="6C3E58A1"/>
    <w:rsid w:val="6C6A1294"/>
    <w:rsid w:val="6CB1569B"/>
    <w:rsid w:val="6CE53865"/>
    <w:rsid w:val="6D042472"/>
    <w:rsid w:val="6D516228"/>
    <w:rsid w:val="6D76531D"/>
    <w:rsid w:val="6D9A40CE"/>
    <w:rsid w:val="6E106087"/>
    <w:rsid w:val="6EBC193D"/>
    <w:rsid w:val="6F3D26D3"/>
    <w:rsid w:val="6F4A6F49"/>
    <w:rsid w:val="6FA11CA4"/>
    <w:rsid w:val="710D7610"/>
    <w:rsid w:val="714C3AC4"/>
    <w:rsid w:val="72004F7C"/>
    <w:rsid w:val="72367C35"/>
    <w:rsid w:val="72B71456"/>
    <w:rsid w:val="730F3FCF"/>
    <w:rsid w:val="735B1D7D"/>
    <w:rsid w:val="73974727"/>
    <w:rsid w:val="73B23958"/>
    <w:rsid w:val="744C311D"/>
    <w:rsid w:val="75416299"/>
    <w:rsid w:val="75D200AA"/>
    <w:rsid w:val="7652040B"/>
    <w:rsid w:val="766E7A7C"/>
    <w:rsid w:val="76803D91"/>
    <w:rsid w:val="769E73E4"/>
    <w:rsid w:val="76AB293C"/>
    <w:rsid w:val="76CC13DE"/>
    <w:rsid w:val="76E11454"/>
    <w:rsid w:val="76F669BA"/>
    <w:rsid w:val="76FE7B37"/>
    <w:rsid w:val="77A9385A"/>
    <w:rsid w:val="793F53A1"/>
    <w:rsid w:val="795E413F"/>
    <w:rsid w:val="79A61220"/>
    <w:rsid w:val="79FA2DDC"/>
    <w:rsid w:val="7A0D622B"/>
    <w:rsid w:val="7A145149"/>
    <w:rsid w:val="7A6758F5"/>
    <w:rsid w:val="7B4E7DC1"/>
    <w:rsid w:val="7C340AC9"/>
    <w:rsid w:val="7C615E04"/>
    <w:rsid w:val="7C9E4285"/>
    <w:rsid w:val="7CBD7899"/>
    <w:rsid w:val="7CC95F46"/>
    <w:rsid w:val="7CE40823"/>
    <w:rsid w:val="7D215834"/>
    <w:rsid w:val="7D3F3510"/>
    <w:rsid w:val="7D6C4019"/>
    <w:rsid w:val="7D88389C"/>
    <w:rsid w:val="7DA63EE4"/>
    <w:rsid w:val="7E024A8C"/>
    <w:rsid w:val="7E0C2090"/>
    <w:rsid w:val="7EFF5267"/>
    <w:rsid w:val="7F407A5D"/>
    <w:rsid w:val="7FD54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annotation text"/>
    <w:basedOn w:val="1"/>
    <w:semiHidden/>
    <w:qFormat/>
    <w:uiPriority w:val="0"/>
    <w:pPr>
      <w:jc w:val="left"/>
    </w:pPr>
    <w:rPr>
      <w:kern w:val="0"/>
      <w:sz w:val="24"/>
      <w:szCs w:val="20"/>
    </w:rPr>
  </w:style>
  <w:style w:type="paragraph" w:styleId="8">
    <w:name w:val="Salutation"/>
    <w:basedOn w:val="1"/>
    <w:next w:val="1"/>
    <w:unhideWhenUsed/>
    <w:qFormat/>
    <w:uiPriority w:val="99"/>
  </w:style>
  <w:style w:type="paragraph" w:styleId="9">
    <w:name w:val="Body Text Indent"/>
    <w:basedOn w:val="1"/>
    <w:next w:val="10"/>
    <w:qFormat/>
    <w:uiPriority w:val="0"/>
    <w:pPr>
      <w:spacing w:after="120"/>
      <w:ind w:left="420" w:leftChars="200"/>
    </w:pPr>
    <w:rPr>
      <w:kern w:val="0"/>
      <w:sz w:val="24"/>
      <w:szCs w:val="20"/>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spacing w:after="120"/>
      <w:ind w:left="420" w:firstLine="210"/>
    </w:pPr>
    <w:rPr>
      <w:rFonts w:eastAsia="楷体_GB2312"/>
      <w:sz w:val="30"/>
    </w:rPr>
  </w:style>
  <w:style w:type="paragraph" w:styleId="12">
    <w:name w:val="footer"/>
    <w:basedOn w:val="1"/>
    <w:qFormat/>
    <w:uiPriority w:val="0"/>
    <w:pPr>
      <w:tabs>
        <w:tab w:val="center" w:pos="4153"/>
        <w:tab w:val="right" w:pos="8306"/>
      </w:tabs>
    </w:pPr>
    <w:rPr>
      <w:rFonts w:eastAsia="宋体"/>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annotation reference"/>
    <w:basedOn w:val="16"/>
    <w:semiHidden/>
    <w:qFormat/>
    <w:uiPriority w:val="0"/>
    <w:rPr>
      <w:sz w:val="21"/>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
    <w:name w:val="表格标题 Char"/>
    <w:basedOn w:val="16"/>
    <w:qFormat/>
    <w:uiPriority w:val="0"/>
    <w:rPr>
      <w:rFonts w:ascii="Times New Roman" w:hAnsi="Times New Roman" w:eastAsia="宋体" w:cs="宋体"/>
      <w:kern w:val="2"/>
      <w:sz w:val="24"/>
      <w:lang w:bidi="ar-SA"/>
    </w:rPr>
  </w:style>
  <w:style w:type="paragraph" w:customStyle="1" w:styleId="21">
    <w:name w:val="Char"/>
    <w:basedOn w:val="1"/>
    <w:qFormat/>
    <w:uiPriority w:val="0"/>
    <w:pPr>
      <w:snapToGrid w:val="0"/>
      <w:spacing w:line="360" w:lineRule="auto"/>
      <w:ind w:firstLine="529" w:firstLineChars="200"/>
    </w:pPr>
    <w:rPr>
      <w:rFonts w:ascii="宋体" w:hAnsi="宋体"/>
      <w:b/>
      <w:szCs w:val="24"/>
    </w:rPr>
  </w:style>
  <w:style w:type="paragraph" w:customStyle="1" w:styleId="22">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3">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4">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5">
    <w:name w:val="font11"/>
    <w:basedOn w:val="16"/>
    <w:qFormat/>
    <w:uiPriority w:val="0"/>
    <w:rPr>
      <w:rFonts w:hint="eastAsia" w:ascii="宋体" w:hAnsi="宋体" w:eastAsia="宋体" w:cs="宋体"/>
      <w:color w:val="000000"/>
      <w:sz w:val="20"/>
      <w:szCs w:val="20"/>
      <w:u w:val="none"/>
      <w:vertAlign w:val="superscript"/>
    </w:rPr>
  </w:style>
  <w:style w:type="character" w:customStyle="1" w:styleId="26">
    <w:name w:val="font21"/>
    <w:basedOn w:val="16"/>
    <w:qFormat/>
    <w:uiPriority w:val="0"/>
    <w:rPr>
      <w:rFonts w:hint="eastAsia" w:ascii="宋体" w:hAnsi="宋体" w:eastAsia="宋体" w:cs="宋体"/>
      <w:color w:val="000000"/>
      <w:sz w:val="20"/>
      <w:szCs w:val="20"/>
      <w:u w:val="none"/>
    </w:rPr>
  </w:style>
  <w:style w:type="paragraph" w:customStyle="1" w:styleId="27">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8">
    <w:name w:val="样式35"/>
    <w:basedOn w:val="1"/>
    <w:qFormat/>
    <w:uiPriority w:val="0"/>
    <w:pPr>
      <w:adjustRightInd w:val="0"/>
      <w:spacing w:line="312" w:lineRule="auto"/>
      <w:ind w:firstLine="567"/>
    </w:pPr>
    <w:rPr>
      <w:rFonts w:ascii="宋体"/>
      <w:kern w:val="0"/>
      <w:sz w:val="28"/>
      <w:szCs w:val="20"/>
    </w:rPr>
  </w:style>
  <w:style w:type="paragraph" w:customStyle="1" w:styleId="29">
    <w:name w:val="p0"/>
    <w:basedOn w:val="1"/>
    <w:qFormat/>
    <w:uiPriority w:val="0"/>
    <w:pPr>
      <w:widowControl/>
    </w:pPr>
    <w:rPr>
      <w:kern w:val="0"/>
      <w:szCs w:val="21"/>
    </w:rPr>
  </w:style>
  <w:style w:type="paragraph" w:customStyle="1" w:styleId="30">
    <w:name w:val="A标准格式"/>
    <w:basedOn w:val="1"/>
    <w:qFormat/>
    <w:uiPriority w:val="0"/>
    <w:pPr>
      <w:ind w:firstLine="480"/>
    </w:pPr>
  </w:style>
  <w:style w:type="paragraph" w:customStyle="1" w:styleId="31">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2">
    <w:name w:val="图表"/>
    <w:basedOn w:val="1"/>
    <w:qFormat/>
    <w:uiPriority w:val="0"/>
    <w:pPr>
      <w:adjustRightInd w:val="0"/>
      <w:snapToGrid w:val="0"/>
      <w:jc w:val="center"/>
    </w:pPr>
    <w:rPr>
      <w:color w:val="000000"/>
      <w:szCs w:val="22"/>
      <w:lang w:val="zh-CN"/>
    </w:rPr>
  </w:style>
  <w:style w:type="paragraph" w:customStyle="1" w:styleId="33">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4">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6">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37">
    <w:name w:val="Char Char Char Char Char Char"/>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11025</Words>
  <Characters>12331</Characters>
  <Lines>0</Lines>
  <Paragraphs>0</Paragraphs>
  <TotalTime>95</TotalTime>
  <ScaleCrop>false</ScaleCrop>
  <LinksUpToDate>false</LinksUpToDate>
  <CharactersWithSpaces>12509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2023-08-04T00:18:10Z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FDD3C6C1278E47AD8C7876305394AC4F</vt:lpwstr>
  </property>
</Properties>
</file>