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eastAsia="华文新魏" w:cs="Times New Roman"/>
          <w:b/>
          <w:color w:val="000000"/>
          <w:sz w:val="48"/>
          <w:szCs w:val="48"/>
        </w:rPr>
      </w:pPr>
      <w:r>
        <w:rPr>
          <w:rFonts w:hint="default" w:ascii="Times New Roman" w:hAnsi="Times New Roman" w:eastAsia="华文新魏" w:cs="Times New Roman"/>
          <w:b/>
          <w:color w:val="000000"/>
          <w:sz w:val="48"/>
          <w:szCs w:val="48"/>
          <w:lang w:eastAsia="zh-CN"/>
        </w:rPr>
        <w:t>半导体设备零部件生产项目</w:t>
      </w:r>
    </w:p>
    <w:p>
      <w:pPr>
        <w:jc w:val="center"/>
        <w:rPr>
          <w:rFonts w:hint="default" w:ascii="Times New Roman" w:hAnsi="Times New Roman" w:cs="Times New Roman" w:eastAsiaTheme="minorEastAsia"/>
          <w:b/>
          <w:bCs/>
          <w:sz w:val="48"/>
          <w:szCs w:val="56"/>
          <w:lang w:val="en-US" w:eastAsia="zh-CN"/>
        </w:rPr>
      </w:pPr>
      <w:r>
        <w:rPr>
          <w:rFonts w:hint="default" w:ascii="Times New Roman" w:hAnsi="Times New Roman" w:eastAsia="华文新魏" w:cs="Times New Roman"/>
          <w:b/>
          <w:color w:val="000000"/>
          <w:sz w:val="48"/>
          <w:szCs w:val="48"/>
          <w:lang w:eastAsia="zh-CN"/>
        </w:rPr>
        <w:t>竣工环境保护阶段性验收监测报告表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安徽舜派金属科技有限公司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三</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七</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张向东</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eastAsia="zh-CN"/>
        </w:rPr>
        <w:t>李霞</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r>
        <w:rPr>
          <w:rFonts w:hint="eastAsia" w:ascii="Times New Roman" w:hAnsi="Times New Roman" w:eastAsia="仿宋_GB2312" w:cs="Times New Roman"/>
          <w:b/>
          <w:bCs/>
          <w:color w:val="000000"/>
          <w:sz w:val="28"/>
          <w:lang w:val="en-US" w:eastAsia="zh-CN"/>
        </w:rPr>
        <w:t>项目负责人：</w:t>
      </w:r>
      <w:r>
        <w:rPr>
          <w:rFonts w:hint="eastAsia" w:ascii="Times New Roman" w:hAnsi="Times New Roman" w:eastAsia="仿宋_GB2312" w:cs="Times New Roman"/>
          <w:b w:val="0"/>
          <w:bCs w:val="0"/>
          <w:color w:val="000000"/>
          <w:sz w:val="28"/>
          <w:lang w:val="en-US"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填表人：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643"/>
        <w:gridCol w:w="1959"/>
        <w:gridCol w:w="1078"/>
        <w:gridCol w:w="886"/>
        <w:gridCol w:w="1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半导体设备零部件生产项目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安徽舜派金属科技有限公司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安徽省宣城市宁国市经济技术开发区港口产业园明心路东侧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rPr>
              <w:t>半导体零部件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eastAsia="zh-CN"/>
              </w:rPr>
              <w:t>00万件</w:t>
            </w:r>
            <w:r>
              <w:rPr>
                <w:rFonts w:hint="default" w:ascii="Times New Roman" w:hAnsi="Times New Roman" w:cs="Times New Roman"/>
                <w:color w:val="auto"/>
                <w:sz w:val="24"/>
              </w:rPr>
              <w:t>半导体零部件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eastAsia="zh-CN"/>
              </w:rPr>
              <w:t>0万件</w:t>
            </w:r>
            <w:r>
              <w:rPr>
                <w:rFonts w:hint="default" w:ascii="Times New Roman" w:hAnsi="Times New Roman" w:cs="Times New Roman"/>
                <w:color w:val="auto"/>
                <w:sz w:val="24"/>
              </w:rPr>
              <w:t>半导体零部件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20</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12</w:t>
            </w:r>
            <w:r>
              <w:rPr>
                <w:rFonts w:hint="default" w:ascii="Times New Roman" w:hAnsi="Times New Roman" w:cs="Times New Roman" w:eastAsiaTheme="minorEastAsia"/>
                <w:sz w:val="24"/>
                <w:szCs w:val="24"/>
                <w:lang w:val="en-US" w:eastAsia="zh-CN"/>
              </w:rPr>
              <w:t>月</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6</w:t>
            </w:r>
            <w:r>
              <w:rPr>
                <w:rFonts w:hint="default" w:ascii="Times New Roman" w:hAnsi="Times New Roman" w:cs="Times New Roman" w:eastAsiaTheme="minorEastAsia"/>
                <w:sz w:val="24"/>
                <w:szCs w:val="24"/>
                <w:lang w:val="en-US" w:eastAsia="zh-CN"/>
              </w:rPr>
              <w:t>月</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15</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安徽皖欣环境科技</w:t>
            </w:r>
            <w:r>
              <w:rPr>
                <w:rFonts w:hint="default" w:ascii="Times New Roman" w:hAnsi="Times New Roman" w:eastAsia="宋体" w:cs="Times New Roman"/>
                <w:color w:val="auto"/>
                <w:sz w:val="24"/>
                <w:lang w:val="en-US"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安徽舜派金属科技有限公司</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安徽舜派金属科技有限公司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50000万元</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630万元</w:t>
            </w:r>
          </w:p>
        </w:tc>
        <w:tc>
          <w:tcPr>
            <w:tcW w:w="5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1.26</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30000万元</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300万元</w:t>
            </w:r>
          </w:p>
        </w:tc>
        <w:tc>
          <w:tcPr>
            <w:tcW w:w="5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cs="Times New Roman"/>
                <w:sz w:val="24"/>
                <w:szCs w:val="24"/>
                <w:lang w:eastAsia="zh-CN"/>
              </w:rPr>
              <w:t>安徽舜派金属科技有限公司半导体设备零部件生产项目</w:t>
            </w:r>
            <w:r>
              <w:rPr>
                <w:rFonts w:hint="default" w:ascii="Times New Roman" w:hAnsi="Times New Roman" w:eastAsia="宋体" w:cs="Times New Roman"/>
                <w:color w:val="auto"/>
                <w:sz w:val="24"/>
                <w:szCs w:val="24"/>
                <w:highlight w:val="none"/>
                <w:lang w:val="en-US" w:eastAsia="zh-CN"/>
              </w:rPr>
              <w:t>委托进行竣工环境保护</w:t>
            </w:r>
            <w:r>
              <w:rPr>
                <w:rFonts w:hint="eastAsia" w:ascii="Times New Roman" w:hAnsi="Times New Roman" w:eastAsia="宋体" w:cs="Times New Roman"/>
                <w:color w:val="auto"/>
                <w:sz w:val="24"/>
                <w:szCs w:val="24"/>
                <w:highlight w:val="none"/>
                <w:lang w:val="en-US" w:eastAsia="zh-CN"/>
              </w:rPr>
              <w:t>阶段性</w:t>
            </w:r>
            <w:r>
              <w:rPr>
                <w:rFonts w:hint="default" w:ascii="Times New Roman" w:hAnsi="Times New Roman" w:eastAsia="宋体" w:cs="Times New Roman"/>
                <w:color w:val="auto"/>
                <w:sz w:val="24"/>
                <w:szCs w:val="24"/>
                <w:highlight w:val="none"/>
                <w:lang w:val="en-US" w:eastAsia="zh-CN"/>
              </w:rPr>
              <w:t>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lang w:val="en-US" w:eastAsia="zh-CN"/>
              </w:rPr>
              <w:t>安徽皖欣环境科技</w:t>
            </w:r>
            <w:r>
              <w:rPr>
                <w:rFonts w:hint="default" w:ascii="Times New Roman" w:hAnsi="Times New Roman" w:eastAsia="宋体" w:cs="Times New Roman"/>
                <w:color w:val="auto"/>
                <w:sz w:val="24"/>
                <w:lang w:val="en-US" w:eastAsia="zh-CN"/>
              </w:rPr>
              <w:t>有限公司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szCs w:val="24"/>
                <w:lang w:eastAsia="zh-CN"/>
              </w:rPr>
              <w:t>安徽舜派金属科技有限公司半导体设备零部件生产项目</w:t>
            </w:r>
            <w:r>
              <w:rPr>
                <w:rFonts w:hint="default" w:ascii="Times New Roman" w:hAnsi="Times New Roman" w:eastAsia="宋体" w:cs="Times New Roman"/>
                <w:color w:val="auto"/>
                <w:sz w:val="24"/>
                <w:szCs w:val="24"/>
                <w:highlight w:val="none"/>
                <w:lang w:val="en-US" w:eastAsia="zh-CN"/>
              </w:rPr>
              <w:t>环境影响报告表》（20</w:t>
            </w:r>
            <w:r>
              <w:rPr>
                <w:rFonts w:hint="eastAsia" w:ascii="Times New Roman" w:hAnsi="Times New Roman" w:eastAsia="宋体" w:cs="Times New Roman"/>
                <w:color w:val="auto"/>
                <w:sz w:val="24"/>
                <w:szCs w:val="24"/>
                <w:highlight w:val="none"/>
                <w:lang w:val="en-US" w:eastAsia="zh-CN"/>
              </w:rPr>
              <w:t>20年12月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cs="Times New Roman"/>
                <w:sz w:val="24"/>
                <w:szCs w:val="24"/>
                <w:lang w:eastAsia="zh-CN"/>
              </w:rPr>
              <w:t>安徽舜派金属科技有限公司半导体设备零部件生产项目</w:t>
            </w:r>
            <w:r>
              <w:rPr>
                <w:rFonts w:hint="default" w:ascii="Times New Roman" w:hAnsi="Times New Roman" w:eastAsia="宋体" w:cs="Times New Roman"/>
                <w:color w:val="auto"/>
                <w:sz w:val="24"/>
                <w:szCs w:val="24"/>
                <w:highlight w:val="none"/>
                <w:lang w:val="en-US" w:eastAsia="zh-CN"/>
              </w:rPr>
              <w:t>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20]153</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4012"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bCs/>
                <w:sz w:val="24"/>
                <w:szCs w:val="24"/>
                <w:lang w:val="en-US"/>
              </w:rPr>
            </w:pPr>
            <w:r>
              <w:rPr>
                <w:rFonts w:hint="eastAsia" w:ascii="Times New Roman" w:hAnsi="Times New Roman" w:cs="Times New Roman"/>
                <w:sz w:val="24"/>
                <w:szCs w:val="24"/>
                <w:lang w:eastAsia="zh-CN"/>
              </w:rPr>
              <w:t>本</w:t>
            </w:r>
            <w:r>
              <w:rPr>
                <w:rFonts w:hint="default" w:ascii="Times New Roman" w:hAnsi="Times New Roman" w:cs="Times New Roman" w:eastAsiaTheme="minorEastAsia"/>
                <w:sz w:val="24"/>
                <w:szCs w:val="24"/>
              </w:rPr>
              <w:t>项目喷砂</w:t>
            </w:r>
            <w:r>
              <w:rPr>
                <w:rFonts w:hint="eastAsia" w:ascii="Times New Roman" w:hAnsi="Times New Roman" w:cs="Times New Roman"/>
                <w:sz w:val="24"/>
                <w:szCs w:val="24"/>
                <w:lang w:eastAsia="zh-CN"/>
              </w:rPr>
              <w:t>废气中</w:t>
            </w:r>
            <w:r>
              <w:rPr>
                <w:rFonts w:hint="default" w:ascii="Times New Roman" w:hAnsi="Times New Roman" w:cs="Times New Roman"/>
                <w:color w:val="auto"/>
                <w:sz w:val="24"/>
                <w:lang w:eastAsia="zh-CN"/>
              </w:rPr>
              <w:t>颗粒物</w:t>
            </w:r>
            <w:r>
              <w:rPr>
                <w:rFonts w:hint="eastAsia" w:ascii="Times New Roman" w:hAnsi="Times New Roman" w:cs="Times New Roman"/>
                <w:color w:val="auto"/>
                <w:sz w:val="24"/>
                <w:lang w:eastAsia="zh-CN"/>
              </w:rPr>
              <w:t>，丙酮擦拭过程产生的丙酮</w:t>
            </w:r>
            <w:r>
              <w:rPr>
                <w:rFonts w:hint="default" w:ascii="Times New Roman" w:hAnsi="Times New Roman" w:cs="Times New Roman" w:eastAsiaTheme="minorEastAsia"/>
                <w:sz w:val="24"/>
                <w:szCs w:val="24"/>
              </w:rPr>
              <w:t>排放</w:t>
            </w:r>
            <w:r>
              <w:rPr>
                <w:rFonts w:hint="default" w:ascii="Times New Roman" w:hAnsi="Times New Roman" w:cs="Times New Roman"/>
                <w:sz w:val="24"/>
                <w:szCs w:val="24"/>
                <w:lang w:eastAsia="zh-CN"/>
              </w:rPr>
              <w:t>参照执行</w:t>
            </w:r>
            <w:r>
              <w:rPr>
                <w:rFonts w:hint="eastAsia" w:ascii="Times New Roman" w:hAnsi="Times New Roman" w:cs="Times New Roman"/>
                <w:sz w:val="24"/>
                <w:szCs w:val="24"/>
                <w:lang w:eastAsia="zh-CN"/>
              </w:rPr>
              <w:t>上海市</w:t>
            </w:r>
            <w:r>
              <w:rPr>
                <w:rFonts w:hint="default" w:ascii="Times New Roman" w:hAnsi="Times New Roman" w:cs="Times New Roman" w:eastAsiaTheme="minorEastAsia"/>
                <w:sz w:val="24"/>
                <w:szCs w:val="24"/>
              </w:rPr>
              <w:t>《大气污染物综合排放标准》（</w:t>
            </w:r>
            <w:r>
              <w:rPr>
                <w:rFonts w:hint="eastAsia" w:ascii="Times New Roman" w:hAnsi="Times New Roman" w:cs="Times New Roman"/>
                <w:sz w:val="24"/>
                <w:szCs w:val="24"/>
                <w:lang w:val="en-US" w:eastAsia="zh-CN"/>
              </w:rPr>
              <w:t>DB31/933-2015</w:t>
            </w:r>
            <w:r>
              <w:rPr>
                <w:rFonts w:hint="default" w:ascii="Times New Roman" w:hAnsi="Times New Roman" w:cs="Times New Roman" w:eastAsiaTheme="minorEastAsia"/>
                <w:sz w:val="24"/>
                <w:szCs w:val="24"/>
              </w:rPr>
              <w:t>）表</w:t>
            </w:r>
            <w:r>
              <w:rPr>
                <w:rFonts w:hint="eastAsia" w:ascii="Times New Roman" w:hAnsi="Times New Roman" w:cs="Times New Roman"/>
                <w:sz w:val="24"/>
                <w:szCs w:val="24"/>
                <w:lang w:val="en-US" w:eastAsia="zh-CN"/>
              </w:rPr>
              <w:t>1中标准限值，阳极氧化废气中硫酸雾、氮氧化物排放参照执行《电镀污染物排放标准》（GB21900-2008）表5中新建企业大气污染物排放限值，</w:t>
            </w:r>
            <w:r>
              <w:rPr>
                <w:rFonts w:hint="default" w:ascii="Times New Roman" w:hAnsi="Times New Roman" w:cs="Times New Roman" w:eastAsiaTheme="minorEastAsia"/>
                <w:sz w:val="24"/>
                <w:szCs w:val="24"/>
              </w:rPr>
              <w:t>具体标准限值见下表</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val="en-US" w:eastAsia="zh-CN"/>
              </w:rPr>
              <w:t>1</w:t>
            </w:r>
            <w:r>
              <w:rPr>
                <w:rFonts w:hint="eastAsia" w:ascii="Times New Roman" w:hAnsi="Times New Roman" w:cs="Times New Roman"/>
                <w:b/>
                <w:bCs/>
                <w:sz w:val="21"/>
                <w:szCs w:val="21"/>
                <w:lang w:val="en-US" w:eastAsia="zh-CN"/>
              </w:rPr>
              <w:t xml:space="preserve"> </w:t>
            </w:r>
            <w:r>
              <w:rPr>
                <w:b/>
                <w:color w:val="auto"/>
                <w:sz w:val="21"/>
                <w:szCs w:val="21"/>
              </w:rPr>
              <w:t>大气污染物排放限值</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38"/>
              <w:gridCol w:w="804"/>
              <w:gridCol w:w="1128"/>
              <w:gridCol w:w="869"/>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tcBorders>
                    <w:top w:val="single" w:color="auto" w:sz="12" w:space="0"/>
                    <w:left w:val="single" w:color="auto" w:sz="4"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785" w:type="pct"/>
                  <w:tcBorders>
                    <w:top w:val="single" w:color="auto" w:sz="12"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608" w:type="pct"/>
                  <w:tcBorders>
                    <w:top w:val="single" w:color="auto" w:sz="12"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排气筒高度m</w:t>
                  </w:r>
                </w:p>
              </w:tc>
              <w:tc>
                <w:tcPr>
                  <w:tcW w:w="853" w:type="pct"/>
                  <w:tcBorders>
                    <w:top w:val="single" w:color="auto" w:sz="12"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w:t>
                  </w:r>
                </w:p>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速率kg/h</w:t>
                  </w:r>
                </w:p>
              </w:tc>
              <w:tc>
                <w:tcPr>
                  <w:tcW w:w="657" w:type="pct"/>
                  <w:tcBorders>
                    <w:top w:val="single" w:color="auto" w:sz="12"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周界外</w:t>
                  </w:r>
                  <w:r>
                    <w:rPr>
                      <w:rFonts w:hint="default" w:ascii="Times New Roman" w:hAnsi="Times New Roman" w:cs="Times New Roman"/>
                      <w:b w:val="0"/>
                      <w:bCs w:val="0"/>
                      <w:color w:val="auto"/>
                      <w:sz w:val="21"/>
                      <w:szCs w:val="21"/>
                    </w:rPr>
                    <w:t>浓度mg/m</w:t>
                  </w:r>
                  <w:r>
                    <w:rPr>
                      <w:rFonts w:hint="default" w:ascii="Times New Roman" w:hAnsi="Times New Roman" w:cs="Times New Roman"/>
                      <w:b w:val="0"/>
                      <w:bCs w:val="0"/>
                      <w:color w:val="auto"/>
                      <w:sz w:val="21"/>
                      <w:szCs w:val="21"/>
                      <w:vertAlign w:val="superscript"/>
                    </w:rPr>
                    <w:t>3</w:t>
                  </w:r>
                </w:p>
              </w:tc>
              <w:tc>
                <w:tcPr>
                  <w:tcW w:w="1515" w:type="pct"/>
                  <w:tcBorders>
                    <w:top w:val="single" w:color="auto" w:sz="12" w:space="0"/>
                    <w:bottom w:val="single" w:color="auto" w:sz="4" w:space="0"/>
                    <w:right w:val="single" w:color="auto" w:sz="12" w:space="0"/>
                  </w:tcBorders>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tcBorders>
                    <w:top w:val="single" w:color="auto" w:sz="4" w:space="0"/>
                    <w:left w:val="single" w:color="auto" w:sz="4" w:space="0"/>
                    <w:bottom w:val="single" w:color="auto" w:sz="4" w:space="0"/>
                  </w:tcBorders>
                  <w:noWrap w:val="0"/>
                  <w:vAlign w:val="center"/>
                </w:tcPr>
                <w:p>
                  <w:pPr>
                    <w:pStyle w:val="29"/>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颗粒物</w:t>
                  </w:r>
                </w:p>
              </w:tc>
              <w:tc>
                <w:tcPr>
                  <w:tcW w:w="785"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w:t>
                  </w:r>
                </w:p>
              </w:tc>
              <w:tc>
                <w:tcPr>
                  <w:tcW w:w="608" w:type="pct"/>
                  <w:vMerge w:val="restart"/>
                  <w:tcBorders>
                    <w:top w:val="single" w:color="auto" w:sz="4" w:space="0"/>
                  </w:tcBorders>
                  <w:noWrap w:val="0"/>
                  <w:vAlign w:val="center"/>
                </w:tcPr>
                <w:p>
                  <w:pPr>
                    <w:pStyle w:val="28"/>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853"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1.5</w:t>
                  </w:r>
                </w:p>
              </w:tc>
              <w:tc>
                <w:tcPr>
                  <w:tcW w:w="657"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snapToGrid w:val="0"/>
                      <w:color w:val="auto"/>
                      <w:sz w:val="21"/>
                      <w:szCs w:val="21"/>
                      <w:lang w:val="en-US" w:eastAsia="zh-CN"/>
                    </w:rPr>
                  </w:pPr>
                  <w:r>
                    <w:rPr>
                      <w:rFonts w:hint="eastAsia" w:ascii="Times New Roman" w:hAnsi="Times New Roman" w:eastAsia="宋体" w:cs="Times New Roman"/>
                      <w:b w:val="0"/>
                      <w:bCs w:val="0"/>
                      <w:snapToGrid w:val="0"/>
                      <w:color w:val="auto"/>
                      <w:sz w:val="21"/>
                      <w:szCs w:val="21"/>
                      <w:lang w:val="en-US" w:eastAsia="zh-CN"/>
                    </w:rPr>
                    <w:t>0.5</w:t>
                  </w:r>
                </w:p>
              </w:tc>
              <w:tc>
                <w:tcPr>
                  <w:tcW w:w="1515" w:type="pct"/>
                  <w:vMerge w:val="restart"/>
                  <w:tcBorders>
                    <w:top w:val="single" w:color="auto" w:sz="4" w:space="0"/>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上海市</w:t>
                  </w:r>
                  <w:r>
                    <w:rPr>
                      <w:rFonts w:hint="default" w:ascii="Times New Roman" w:hAnsi="Times New Roman" w:cs="Times New Roman"/>
                      <w:color w:val="auto"/>
                      <w:sz w:val="21"/>
                      <w:szCs w:val="21"/>
                      <w:lang w:val="en-US" w:eastAsia="zh-CN"/>
                    </w:rPr>
                    <w:t>《大气污染物综合排放标准》（DB31/933-2015）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80" w:type="pct"/>
                  <w:tcBorders>
                    <w:top w:val="single" w:color="auto" w:sz="4" w:space="0"/>
                    <w:left w:val="single" w:color="auto" w:sz="4" w:space="0"/>
                    <w:bottom w:val="single" w:color="auto" w:sz="4" w:space="0"/>
                  </w:tcBorders>
                  <w:noWrap w:val="0"/>
                  <w:vAlign w:val="center"/>
                </w:tcPr>
                <w:p>
                  <w:pPr>
                    <w:pStyle w:val="29"/>
                    <w:ind w:firstLine="0" w:firstLineChars="0"/>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丙酮</w:t>
                  </w:r>
                </w:p>
              </w:tc>
              <w:tc>
                <w:tcPr>
                  <w:tcW w:w="785"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80</w:t>
                  </w:r>
                </w:p>
              </w:tc>
              <w:tc>
                <w:tcPr>
                  <w:tcW w:w="608" w:type="pct"/>
                  <w:vMerge w:val="continue"/>
                  <w:noWrap w:val="0"/>
                  <w:vAlign w:val="center"/>
                </w:tcPr>
                <w:p>
                  <w:pPr>
                    <w:pStyle w:val="28"/>
                    <w:ind w:firstLine="0" w:firstLineChars="0"/>
                    <w:jc w:val="center"/>
                    <w:rPr>
                      <w:rFonts w:hint="eastAsia" w:ascii="Times New Roman" w:hAnsi="Times New Roman" w:eastAsia="宋体" w:cs="Times New Roman"/>
                      <w:color w:val="auto"/>
                      <w:sz w:val="21"/>
                      <w:szCs w:val="21"/>
                      <w:lang w:val="en-US" w:eastAsia="zh-CN"/>
                    </w:rPr>
                  </w:pPr>
                </w:p>
              </w:tc>
              <w:tc>
                <w:tcPr>
                  <w:tcW w:w="853"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snapToGrid w:val="0"/>
                      <w:color w:val="auto"/>
                      <w:sz w:val="21"/>
                      <w:szCs w:val="21"/>
                      <w:lang w:val="en-US" w:eastAsia="zh-CN"/>
                    </w:rPr>
                    <w:t>/</w:t>
                  </w:r>
                </w:p>
              </w:tc>
              <w:tc>
                <w:tcPr>
                  <w:tcW w:w="657"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snapToGrid w:val="0"/>
                      <w:color w:val="auto"/>
                      <w:sz w:val="21"/>
                      <w:szCs w:val="21"/>
                      <w:lang w:val="en-US" w:eastAsia="zh-CN"/>
                    </w:rPr>
                  </w:pPr>
                  <w:r>
                    <w:rPr>
                      <w:rFonts w:hint="eastAsia" w:ascii="Times New Roman" w:hAnsi="Times New Roman" w:cs="Times New Roman"/>
                      <w:b w:val="0"/>
                      <w:bCs w:val="0"/>
                      <w:color w:val="auto"/>
                      <w:sz w:val="21"/>
                      <w:szCs w:val="21"/>
                      <w:lang w:val="en-US" w:eastAsia="zh-CN"/>
                    </w:rPr>
                    <w:t>3.2</w:t>
                  </w:r>
                </w:p>
              </w:tc>
              <w:tc>
                <w:tcPr>
                  <w:tcW w:w="1515" w:type="pct"/>
                  <w:vMerge w:val="continue"/>
                  <w:tcBorders>
                    <w:bottom w:val="single" w:color="auto" w:sz="4" w:space="0"/>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80" w:type="pct"/>
                  <w:tcBorders>
                    <w:top w:val="single" w:color="auto" w:sz="4" w:space="0"/>
                    <w:left w:val="single" w:color="auto" w:sz="4" w:space="0"/>
                    <w:bottom w:val="single" w:color="auto" w:sz="4" w:space="0"/>
                  </w:tcBorders>
                  <w:noWrap w:val="0"/>
                  <w:vAlign w:val="center"/>
                </w:tcPr>
                <w:p>
                  <w:pPr>
                    <w:pStyle w:val="29"/>
                    <w:ind w:firstLine="0" w:firstLineChars="0"/>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硫酸</w:t>
                  </w:r>
                  <w:r>
                    <w:rPr>
                      <w:rFonts w:hint="eastAsia" w:ascii="Times New Roman" w:hAnsi="Times New Roman" w:cs="Times New Roman"/>
                      <w:color w:val="auto"/>
                      <w:sz w:val="21"/>
                      <w:szCs w:val="21"/>
                      <w:lang w:eastAsia="zh-CN"/>
                    </w:rPr>
                    <w:t>雾</w:t>
                  </w:r>
                </w:p>
              </w:tc>
              <w:tc>
                <w:tcPr>
                  <w:tcW w:w="785"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w:t>
                  </w:r>
                </w:p>
              </w:tc>
              <w:tc>
                <w:tcPr>
                  <w:tcW w:w="608" w:type="pct"/>
                  <w:vMerge w:val="continue"/>
                  <w:noWrap w:val="0"/>
                  <w:vAlign w:val="center"/>
                </w:tcPr>
                <w:p>
                  <w:pPr>
                    <w:pStyle w:val="28"/>
                    <w:ind w:firstLine="0" w:firstLineChars="0"/>
                    <w:jc w:val="center"/>
                    <w:rPr>
                      <w:rFonts w:hint="eastAsia" w:ascii="Times New Roman" w:hAnsi="Times New Roman" w:eastAsia="宋体" w:cs="Times New Roman"/>
                      <w:color w:val="auto"/>
                      <w:sz w:val="21"/>
                      <w:szCs w:val="21"/>
                      <w:lang w:val="en-US" w:eastAsia="zh-CN"/>
                    </w:rPr>
                  </w:pPr>
                </w:p>
              </w:tc>
              <w:tc>
                <w:tcPr>
                  <w:tcW w:w="853"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657"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snapToGrid w:val="0"/>
                      <w:color w:val="auto"/>
                      <w:sz w:val="21"/>
                      <w:szCs w:val="21"/>
                      <w:lang w:val="en-US" w:eastAsia="zh-CN"/>
                    </w:rPr>
                  </w:pPr>
                  <w:r>
                    <w:rPr>
                      <w:rFonts w:hint="eastAsia" w:ascii="Times New Roman" w:hAnsi="Times New Roman" w:eastAsia="宋体" w:cs="Times New Roman"/>
                      <w:b w:val="0"/>
                      <w:bCs w:val="0"/>
                      <w:snapToGrid w:val="0"/>
                      <w:color w:val="auto"/>
                      <w:sz w:val="21"/>
                      <w:szCs w:val="21"/>
                      <w:lang w:val="en-US" w:eastAsia="zh-CN"/>
                    </w:rPr>
                    <w:t>/</w:t>
                  </w:r>
                </w:p>
              </w:tc>
              <w:tc>
                <w:tcPr>
                  <w:tcW w:w="1515" w:type="pct"/>
                  <w:vMerge w:val="restart"/>
                  <w:tcBorders>
                    <w:top w:val="single" w:color="auto" w:sz="4" w:space="0"/>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《电镀污染物排放标准》（GB21900-2008）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tcBorders>
                    <w:top w:val="single" w:color="auto" w:sz="4" w:space="0"/>
                    <w:left w:val="single" w:color="auto" w:sz="4" w:space="0"/>
                    <w:bottom w:val="single" w:color="auto" w:sz="12" w:space="0"/>
                  </w:tcBorders>
                  <w:noWrap w:val="0"/>
                  <w:vAlign w:val="center"/>
                </w:tcPr>
                <w:p>
                  <w:pPr>
                    <w:pStyle w:val="29"/>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w:t>
                  </w:r>
                </w:p>
              </w:tc>
              <w:tc>
                <w:tcPr>
                  <w:tcW w:w="785" w:type="pct"/>
                  <w:tcBorders>
                    <w:top w:val="single" w:color="auto" w:sz="4" w:space="0"/>
                    <w:bottom w:val="single" w:color="auto" w:sz="12"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200</w:t>
                  </w:r>
                </w:p>
              </w:tc>
              <w:tc>
                <w:tcPr>
                  <w:tcW w:w="608" w:type="pct"/>
                  <w:vMerge w:val="continue"/>
                  <w:tcBorders>
                    <w:bottom w:val="single" w:color="auto" w:sz="12" w:space="0"/>
                  </w:tcBorders>
                  <w:noWrap w:val="0"/>
                  <w:vAlign w:val="center"/>
                </w:tcPr>
                <w:p>
                  <w:pPr>
                    <w:pStyle w:val="28"/>
                    <w:ind w:firstLine="0" w:firstLineChars="0"/>
                    <w:jc w:val="center"/>
                    <w:rPr>
                      <w:rFonts w:hint="eastAsia" w:ascii="Times New Roman" w:hAnsi="Times New Roman" w:eastAsia="宋体" w:cs="Times New Roman"/>
                      <w:color w:val="auto"/>
                      <w:sz w:val="21"/>
                      <w:szCs w:val="21"/>
                      <w:lang w:val="en-US" w:eastAsia="zh-CN"/>
                    </w:rPr>
                  </w:pPr>
                </w:p>
              </w:tc>
              <w:tc>
                <w:tcPr>
                  <w:tcW w:w="853" w:type="pct"/>
                  <w:tcBorders>
                    <w:top w:val="single" w:color="auto" w:sz="4" w:space="0"/>
                    <w:bottom w:val="single" w:color="auto" w:sz="12" w:space="0"/>
                  </w:tcBorders>
                  <w:noWrap w:val="0"/>
                  <w:vAlign w:val="center"/>
                </w:tcPr>
                <w:p>
                  <w:pPr>
                    <w:pStyle w:val="28"/>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657" w:type="pct"/>
                  <w:tcBorders>
                    <w:top w:val="single" w:color="auto" w:sz="4" w:space="0"/>
                    <w:bottom w:val="single" w:color="auto" w:sz="12" w:space="0"/>
                  </w:tcBorders>
                  <w:noWrap w:val="0"/>
                  <w:vAlign w:val="center"/>
                </w:tcPr>
                <w:p>
                  <w:pPr>
                    <w:pStyle w:val="28"/>
                    <w:ind w:firstLine="0" w:firstLineChars="0"/>
                    <w:jc w:val="center"/>
                    <w:rPr>
                      <w:rFonts w:hint="default" w:ascii="Times New Roman" w:hAnsi="Times New Roman" w:eastAsia="宋体" w:cs="Times New Roman"/>
                      <w:b w:val="0"/>
                      <w:bCs w:val="0"/>
                      <w:snapToGrid w:val="0"/>
                      <w:color w:val="auto"/>
                      <w:sz w:val="21"/>
                      <w:szCs w:val="21"/>
                      <w:lang w:val="en-US" w:eastAsia="zh-CN"/>
                    </w:rPr>
                  </w:pPr>
                  <w:r>
                    <w:rPr>
                      <w:rFonts w:hint="eastAsia" w:ascii="Times New Roman" w:hAnsi="Times New Roman" w:eastAsia="宋体" w:cs="Times New Roman"/>
                      <w:b w:val="0"/>
                      <w:bCs w:val="0"/>
                      <w:snapToGrid w:val="0"/>
                      <w:color w:val="auto"/>
                      <w:sz w:val="21"/>
                      <w:szCs w:val="21"/>
                      <w:lang w:val="en-US" w:eastAsia="zh-CN"/>
                    </w:rPr>
                    <w:t>/</w:t>
                  </w:r>
                </w:p>
              </w:tc>
              <w:tc>
                <w:tcPr>
                  <w:tcW w:w="1515" w:type="pct"/>
                  <w:vMerge w:val="continue"/>
                  <w:tcBorders>
                    <w:bottom w:val="single" w:color="auto" w:sz="12" w:space="0"/>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w:t>
            </w:r>
            <w:r>
              <w:rPr>
                <w:rFonts w:hint="eastAsia" w:ascii="Times New Roman" w:hAnsi="Times New Roman" w:eastAsia="宋体" w:cs="Times New Roman"/>
                <w:color w:val="auto"/>
                <w:sz w:val="24"/>
                <w:szCs w:val="24"/>
                <w:lang w:eastAsia="zh-CN"/>
              </w:rPr>
              <w:t>《污水综合排放标准》（GB8978-1996）中的三级标准及港口污水处理厂接管标准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auto"/>
                <w:sz w:val="24"/>
                <w:szCs w:val="24"/>
                <w:lang w:eastAsia="zh-CN"/>
              </w:rPr>
              <w:t>其中特征污染物总铝、总锌执行《电镀污染物排放标准》（GB21900-2008）中表 2 排放标准，</w:t>
            </w:r>
            <w:r>
              <w:rPr>
                <w:rFonts w:hint="default" w:ascii="Times New Roman" w:hAnsi="Times New Roman" w:eastAsia="宋体" w:cs="Times New Roman"/>
                <w:bCs/>
                <w:color w:val="auto"/>
                <w:sz w:val="24"/>
                <w:szCs w:val="24"/>
              </w:rPr>
              <w:t>具体标准限值见下表：</w:t>
            </w:r>
          </w:p>
          <w:p>
            <w:pPr>
              <w:pStyle w:val="6"/>
              <w:spacing w:line="360" w:lineRule="auto"/>
              <w:ind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1-2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3"/>
              <w:tblW w:w="50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540"/>
              <w:gridCol w:w="767"/>
              <w:gridCol w:w="729"/>
              <w:gridCol w:w="531"/>
              <w:gridCol w:w="426"/>
              <w:gridCol w:w="426"/>
              <w:gridCol w:w="426"/>
              <w:gridCol w:w="426"/>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406"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pH</w:t>
                  </w:r>
                </w:p>
              </w:tc>
              <w:tc>
                <w:tcPr>
                  <w:tcW w:w="576"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54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399"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Cs w:val="21"/>
                      <w:highlight w:val="none"/>
                    </w:rPr>
                    <w:t>氨氮</w:t>
                  </w:r>
                </w:p>
              </w:tc>
              <w:tc>
                <w:tcPr>
                  <w:tcW w:w="320" w:type="pct"/>
                  <w:tcBorders>
                    <w:tl2br w:val="nil"/>
                    <w:tr2bl w:val="nil"/>
                  </w:tcBorders>
                  <w:noWrap w:val="0"/>
                  <w:vAlign w:val="center"/>
                </w:tcPr>
                <w:p>
                  <w:pPr>
                    <w:widowControl/>
                    <w:jc w:val="center"/>
                    <w:textAlignment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石油类</w:t>
                  </w:r>
                </w:p>
              </w:tc>
              <w:tc>
                <w:tcPr>
                  <w:tcW w:w="320"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总氮</w:t>
                  </w:r>
                </w:p>
              </w:tc>
              <w:tc>
                <w:tcPr>
                  <w:tcW w:w="320" w:type="pct"/>
                  <w:tcBorders>
                    <w:tl2br w:val="nil"/>
                    <w:tr2bl w:val="nil"/>
                  </w:tcBorders>
                  <w:noWrap w:val="0"/>
                  <w:vAlign w:val="center"/>
                </w:tcPr>
                <w:p>
                  <w:pPr>
                    <w:widowControl/>
                    <w:jc w:val="center"/>
                    <w:textAlignment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总铝</w:t>
                  </w:r>
                </w:p>
              </w:tc>
              <w:tc>
                <w:tcPr>
                  <w:tcW w:w="320" w:type="pct"/>
                  <w:tcBorders>
                    <w:tl2br w:val="nil"/>
                    <w:tr2bl w:val="nil"/>
                  </w:tcBorders>
                  <w:noWrap w:val="0"/>
                  <w:vAlign w:val="center"/>
                </w:tcPr>
                <w:p>
                  <w:pPr>
                    <w:widowControl/>
                    <w:jc w:val="center"/>
                    <w:textAlignment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总锌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《污水综合排放标准》（GB8978-1996）中的三级标准</w:t>
                  </w:r>
                </w:p>
              </w:tc>
              <w:tc>
                <w:tcPr>
                  <w:tcW w:w="406" w:type="pct"/>
                  <w:tcBorders>
                    <w:tl2br w:val="nil"/>
                    <w:tr2bl w:val="nil"/>
                  </w:tcBorders>
                  <w:noWrap w:val="0"/>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57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500</w:t>
                  </w:r>
                </w:p>
              </w:tc>
              <w:tc>
                <w:tcPr>
                  <w:tcW w:w="548"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val="en-US" w:eastAsia="zh-CN"/>
                    </w:rPr>
                    <w:t>00</w:t>
                  </w:r>
                </w:p>
              </w:tc>
              <w:tc>
                <w:tcPr>
                  <w:tcW w:w="399"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400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港口</w:t>
                  </w:r>
                  <w:r>
                    <w:rPr>
                      <w:rFonts w:hint="default" w:ascii="Times New Roman" w:hAnsi="Times New Roman" w:eastAsia="宋体" w:cs="Times New Roman"/>
                      <w:color w:val="auto"/>
                      <w:sz w:val="21"/>
                      <w:szCs w:val="21"/>
                      <w:lang w:val="en-US" w:eastAsia="zh-CN"/>
                    </w:rPr>
                    <w:t>污水处理厂接管标准</w:t>
                  </w:r>
                </w:p>
              </w:tc>
              <w:tc>
                <w:tcPr>
                  <w:tcW w:w="406"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6~9</w:t>
                  </w:r>
                </w:p>
              </w:tc>
              <w:tc>
                <w:tcPr>
                  <w:tcW w:w="57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380</w:t>
                  </w:r>
                </w:p>
              </w:tc>
              <w:tc>
                <w:tcPr>
                  <w:tcW w:w="548"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399"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250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《电镀污染物排放标准》（GB21900-2008）</w:t>
                  </w:r>
                </w:p>
              </w:tc>
              <w:tc>
                <w:tcPr>
                  <w:tcW w:w="40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7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48"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9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4"/>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18"/>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噪声排放标准</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5"/>
              <w:gridCol w:w="1803"/>
              <w:gridCol w:w="1643"/>
              <w:gridCol w:w="16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一般工业固体废物处置执行《一般工业固体废物贮存与填埋污染控制标准》（GB18599-2020）中要求，危险废物执行《危险废物贮存污染控制标准》（GB 18597-2023）中要求。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35"/>
              <w:gridCol w:w="2229"/>
              <w:gridCol w:w="22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3" w:type="pct"/>
                  <w:tcBorders>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颗粒物</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1.376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VOCs</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8.127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683"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lang w:val="en-US" w:eastAsia="zh-CN"/>
                    </w:rPr>
                    <w:t>-N</w:t>
                  </w:r>
                </w:p>
              </w:tc>
              <w:tc>
                <w:tcPr>
                  <w:tcW w:w="1703"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38</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安徽舜派金属科技有限公司在安徽省宣城市宁国市经济技术开发区港口产业园明心路东侧投资建设半导体设备零部件生产项目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新建生产车间面积13000m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，购置2条清洗线、新增数控车床、挤压机、拉丝机、清洗设备等生产设备182台套及相关水、电设施。项目占地面积33335 平方米（合50亩），总投资50000万元，</w:t>
            </w:r>
            <w:r>
              <w:rPr>
                <w:rFonts w:hint="eastAsia" w:ascii="Times New Roman" w:hAnsi="Times New Roman" w:eastAsia="宋体" w:cs="Times New Roman"/>
                <w:sz w:val="24"/>
                <w:szCs w:val="24"/>
                <w:lang w:val="en-US" w:eastAsia="zh-CN"/>
              </w:rPr>
              <w:t>项目建成达产后可</w:t>
            </w:r>
            <w:r>
              <w:rPr>
                <w:rFonts w:hint="default" w:ascii="Times New Roman" w:hAnsi="Times New Roman" w:eastAsia="宋体" w:cs="Times New Roman"/>
                <w:sz w:val="24"/>
                <w:szCs w:val="24"/>
                <w:lang w:val="en-US" w:eastAsia="zh-CN"/>
              </w:rPr>
              <w:t>年产200万件（套）半导体设备零部件。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en-US" w:eastAsia="zh-CN"/>
              </w:rPr>
              <w:t>年8月1</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日宁国经济技术开发区管理委员会对该建设项目进行了备案，项目编码 2020-341862-34-03-031732。202</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lang w:val="en-US" w:eastAsia="zh-CN"/>
              </w:rPr>
              <w:t>月公司委托安徽皖欣环境科技有限公司编制了《安徽舜派金属科技有限公司半导体设备零部件生产项目建设环境影响报告表》，项目于20</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lang w:val="en-US" w:eastAsia="zh-CN"/>
              </w:rPr>
              <w:t>月29日经宣城市宁国市生态环境分局审批（文号：宁环审批[20</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153</w:t>
            </w:r>
            <w:r>
              <w:rPr>
                <w:rFonts w:hint="default" w:ascii="Times New Roman" w:hAnsi="Times New Roman" w:eastAsia="宋体" w:cs="Times New Roman"/>
                <w:color w:val="auto"/>
                <w:sz w:val="24"/>
                <w:lang w:val="en-US" w:eastAsia="zh-CN"/>
              </w:rPr>
              <w:t>号），本项目于202</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月开始建设，20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阶段性建成</w:t>
            </w:r>
            <w:r>
              <w:rPr>
                <w:rFonts w:hint="default" w:ascii="Times New Roman" w:hAnsi="Times New Roman" w:eastAsia="宋体" w:cs="Times New Roman"/>
                <w:color w:val="auto"/>
                <w:sz w:val="24"/>
                <w:lang w:val="en-US" w:eastAsia="zh-CN"/>
              </w:rPr>
              <w:t>投入</w:t>
            </w:r>
            <w:r>
              <w:rPr>
                <w:rFonts w:hint="eastAsia" w:ascii="Times New Roman" w:hAnsi="Times New Roman" w:eastAsia="宋体" w:cs="Times New Roman"/>
                <w:color w:val="auto"/>
                <w:sz w:val="24"/>
                <w:lang w:val="en-US" w:eastAsia="zh-CN"/>
              </w:rPr>
              <w:t>试</w:t>
            </w:r>
            <w:r>
              <w:rPr>
                <w:rFonts w:hint="default" w:ascii="Times New Roman" w:hAnsi="Times New Roman" w:eastAsia="宋体" w:cs="Times New Roman"/>
                <w:color w:val="auto"/>
                <w:sz w:val="24"/>
                <w:lang w:val="en-US" w:eastAsia="zh-CN"/>
              </w:rPr>
              <w:t>生产。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rPr>
            </w:pPr>
            <w:r>
              <w:rPr>
                <w:rFonts w:hint="default" w:ascii="Times New Roman" w:hAnsi="Times New Roman" w:eastAsia="宋体" w:cs="Times New Roman"/>
                <w:color w:val="000000"/>
                <w:kern w:val="0"/>
                <w:sz w:val="24"/>
                <w:szCs w:val="24"/>
                <w:lang w:val="en-US" w:eastAsia="zh-CN" w:bidi="ar"/>
              </w:rPr>
              <w:t>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月安徽舜派金属科技有限公司成立了验收小组，并委托宁国市浚成环境检测有限公司组织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安徽舜派金属科技有限公司</w:t>
            </w:r>
            <w:r>
              <w:rPr>
                <w:rFonts w:hint="default" w:ascii="Times New Roman" w:hAnsi="Times New Roman" w:eastAsia="宋体" w:cs="Times New Roman"/>
                <w:color w:val="000000" w:themeColor="text1"/>
                <w:sz w:val="24"/>
                <w:lang w:val="en-US" w:eastAsia="zh-CN"/>
                <w14:textFill>
                  <w14:solidFill>
                    <w14:schemeClr w14:val="tx1"/>
                  </w14:solidFill>
                </w14:textFill>
              </w:rPr>
              <w:t>半导体设备零部件生产项目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竣工环保</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阶段性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验收。宁国市浚成环境检测有限公司对该项目开展现场检测工作，同时调查并核实项目环境保护工作落实情况，并编制完成《安徽舜派金属科技有限公司</w:t>
            </w:r>
            <w:r>
              <w:rPr>
                <w:rFonts w:hint="default" w:ascii="Times New Roman" w:hAnsi="Times New Roman" w:eastAsia="宋体" w:cs="Times New Roman"/>
                <w:color w:val="000000" w:themeColor="text1"/>
                <w:sz w:val="24"/>
                <w:lang w:val="en-US" w:eastAsia="zh-CN"/>
                <w14:textFill>
                  <w14:solidFill>
                    <w14:schemeClr w14:val="tx1"/>
                  </w14:solidFill>
                </w14:textFill>
              </w:rPr>
              <w:t>半导体设备零部件生产项目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竣工环境保护</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阶段性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验收监测报告表》。</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日企业组织召开了竣工环保</w:t>
            </w:r>
            <w:r>
              <w:rPr>
                <w:rFonts w:hint="eastAsia" w:ascii="Times New Roman" w:hAnsi="Times New Roman" w:eastAsia="宋体" w:cs="Times New Roman"/>
                <w:color w:val="000000" w:themeColor="text1"/>
                <w:sz w:val="24"/>
                <w:lang w:val="en-US" w:eastAsia="zh-CN"/>
                <w14:textFill>
                  <w14:solidFill>
                    <w14:schemeClr w14:val="tx1"/>
                  </w14:solidFill>
                </w14:textFill>
              </w:rPr>
              <w:t>阶段性</w:t>
            </w:r>
            <w:r>
              <w:rPr>
                <w:rFonts w:hint="default" w:ascii="Times New Roman" w:hAnsi="Times New Roman" w:eastAsia="宋体" w:cs="Times New Roman"/>
                <w:color w:val="000000" w:themeColor="text1"/>
                <w:sz w:val="24"/>
                <w:lang w:val="en-US" w:eastAsia="zh-CN"/>
                <w14:textFill>
                  <w14:solidFill>
                    <w14:schemeClr w14:val="tx1"/>
                  </w14:solidFill>
                </w14:textFill>
              </w:rPr>
              <w:t>验收</w:t>
            </w:r>
            <w:r>
              <w:rPr>
                <w:rFonts w:hint="eastAsia" w:ascii="Times New Roman" w:hAnsi="Times New Roman" w:eastAsia="宋体" w:cs="Times New Roman"/>
                <w:color w:val="000000" w:themeColor="text1"/>
                <w:sz w:val="24"/>
                <w:lang w:val="en-US" w:eastAsia="zh-CN"/>
                <w14:textFill>
                  <w14:solidFill>
                    <w14:schemeClr w14:val="tx1"/>
                  </w14:solidFill>
                </w14:textFill>
              </w:rPr>
              <w:t>会</w:t>
            </w:r>
            <w:r>
              <w:rPr>
                <w:rFonts w:hint="default" w:ascii="Times New Roman" w:hAnsi="Times New Roman" w:eastAsia="宋体" w:cs="Times New Roman"/>
                <w:color w:val="000000" w:themeColor="text1"/>
                <w:sz w:val="24"/>
                <w:lang w:val="en-US" w:eastAsia="zh-CN"/>
                <w14:textFill>
                  <w14:solidFill>
                    <w14:schemeClr w14:val="tx1"/>
                  </w14:solidFill>
                </w14:textFill>
              </w:rPr>
              <w:t>，会后专家组提出部分整改意见，</w:t>
            </w:r>
            <w:r>
              <w:rPr>
                <w:rFonts w:hint="eastAsia" w:ascii="Times New Roman" w:hAnsi="Times New Roman" w:eastAsia="宋体" w:cs="Times New Roman"/>
                <w:color w:val="000000" w:themeColor="text1"/>
                <w:sz w:val="24"/>
                <w:lang w:val="en-US" w:eastAsia="zh-CN"/>
                <w14:textFill>
                  <w14:solidFill>
                    <w14:schemeClr w14:val="tx1"/>
                  </w14:solidFill>
                </w14:textFill>
              </w:rPr>
              <w:t>企业完成整改</w:t>
            </w:r>
            <w:r>
              <w:rPr>
                <w:rFonts w:hint="default" w:ascii="Times New Roman" w:hAnsi="Times New Roman" w:eastAsia="宋体" w:cs="Times New Roman"/>
                <w:color w:val="000000" w:themeColor="text1"/>
                <w:sz w:val="24"/>
                <w:lang w:val="en-US" w:eastAsia="zh-CN"/>
                <w14:textFill>
                  <w14:solidFill>
                    <w14:schemeClr w14:val="tx1"/>
                  </w14:solidFill>
                </w14:textFill>
              </w:rPr>
              <w:t>并于</w:t>
            </w:r>
            <w:r>
              <w:rPr>
                <w:rFonts w:hint="eastAsia" w:ascii="Times New Roman" w:hAnsi="Times New Roman" w:eastAsia="宋体" w:cs="Times New Roman"/>
                <w:color w:val="000000" w:themeColor="text1"/>
                <w:sz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日形成验收意见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工程建设内容：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w:t>
            </w:r>
            <w:r>
              <w:rPr>
                <w:rFonts w:hint="eastAsia" w:ascii="Times New Roman" w:hAnsi="Times New Roman" w:eastAsia="宋体" w:cs="Times New Roman"/>
                <w:color w:val="000000"/>
                <w:kern w:val="0"/>
                <w:sz w:val="24"/>
                <w:szCs w:val="24"/>
                <w:lang w:val="en-US" w:eastAsia="zh-CN" w:bidi="ar"/>
              </w:rPr>
              <w:t>年产200万件（套）半导体设备零部件</w:t>
            </w:r>
            <w:r>
              <w:rPr>
                <w:rFonts w:hint="default" w:ascii="Times New Roman" w:hAnsi="Times New Roman" w:eastAsia="宋体" w:cs="Times New Roman"/>
                <w:sz w:val="24"/>
                <w:szCs w:val="24"/>
                <w:lang w:val="en-US" w:eastAsia="zh-CN"/>
              </w:rPr>
              <w:t>，目前已阶段性建设完成。</w:t>
            </w:r>
            <w:r>
              <w:rPr>
                <w:rFonts w:hint="default" w:ascii="Times New Roman" w:hAnsi="Times New Roman" w:eastAsia="宋体" w:cs="Times New Roman"/>
                <w:color w:val="000000"/>
                <w:kern w:val="0"/>
                <w:sz w:val="24"/>
                <w:szCs w:val="24"/>
                <w:lang w:val="en-US" w:eastAsia="zh-CN" w:bidi="ar"/>
              </w:rPr>
              <w:t>验收范围为安徽舜派金属科技有限公司</w:t>
            </w:r>
            <w:r>
              <w:rPr>
                <w:rFonts w:hint="eastAsia" w:ascii="Times New Roman" w:hAnsi="Times New Roman" w:eastAsia="宋体" w:cs="Times New Roman"/>
                <w:color w:val="000000"/>
                <w:kern w:val="0"/>
                <w:sz w:val="24"/>
                <w:szCs w:val="24"/>
                <w:lang w:val="en-US" w:eastAsia="zh-CN" w:bidi="ar"/>
              </w:rPr>
              <w:t>已阶段性建成的喷砂房、阳极氧化生产线，丙酮擦试间，检验包装间，污水处理站等，生产能力为年产半导体零件CVD板、BP板、防着板、靶材、罩件50万件（套）。</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97"/>
              <w:gridCol w:w="3044"/>
              <w:gridCol w:w="2700"/>
              <w:gridCol w:w="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szCs w:val="21"/>
                      <w:lang w:val="en-US" w:eastAsia="zh-CN"/>
                    </w:rPr>
                    <w:t>1#车间</w:t>
                  </w:r>
                </w:p>
              </w:tc>
              <w:tc>
                <w:tcPr>
                  <w:tcW w:w="1839"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kern w:val="0"/>
                      <w:szCs w:val="21"/>
                      <w:lang w:eastAsia="zh-CN" w:bidi="ar"/>
                    </w:rPr>
                    <w:t>一栋两层砖混结构，占地面积2647.2</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szCs w:val="21"/>
                      <w:lang w:eastAsia="zh-CN" w:bidi="ar"/>
                    </w:rPr>
                    <w:t>，建筑面积5294.4</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szCs w:val="21"/>
                      <w:lang w:eastAsia="zh-CN" w:bidi="ar"/>
                    </w:rPr>
                    <w:t>，一层设置喷塑生产线、喷漆生产线及抛光房。购置喷漆生产线，喷粉生产线、抛光机；喷漆规模为40万件，喷塑规模38万件。二层为成品仓库</w:t>
                  </w:r>
                  <w:r>
                    <w:rPr>
                      <w:rFonts w:hint="eastAsia" w:ascii="Times New Roman" w:hAnsi="Times New Roman" w:cs="Times New Roman"/>
                      <w:kern w:val="0"/>
                      <w:szCs w:val="21"/>
                      <w:lang w:eastAsia="zh-CN" w:bidi="ar"/>
                    </w:rPr>
                    <w:t>。</w:t>
                  </w:r>
                </w:p>
              </w:tc>
              <w:tc>
                <w:tcPr>
                  <w:tcW w:w="1631" w:type="pct"/>
                  <w:tcBorders>
                    <w:tl2br w:val="nil"/>
                    <w:tr2bl w:val="nil"/>
                  </w:tcBorders>
                  <w:noWrap w:val="0"/>
                  <w:vAlign w:val="center"/>
                </w:tcPr>
                <w:p>
                  <w:pPr>
                    <w:pStyle w:val="21"/>
                    <w:bidi w:val="0"/>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未建设</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lang w:eastAsia="zh-CN"/>
                    </w:rPr>
                    <w:t>2#车间</w:t>
                  </w:r>
                </w:p>
              </w:tc>
              <w:tc>
                <w:tcPr>
                  <w:tcW w:w="1839"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lang w:eastAsia="zh-CN"/>
                    </w:rPr>
                    <w:t>一栋两层砖混及钢架结构，厂房为丁字布局，占地面积13898.5</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lang w:eastAsia="zh-CN"/>
                    </w:rPr>
                    <w:t>，建筑面积17585.3</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lang w:eastAsia="zh-CN"/>
                    </w:rPr>
                    <w:t>，一层设置机加工区域、焊接区域、喷砂区域、火焰熔射区、原材料区域、成品区域，二层设置4条阳极氧化生产线高压水刀房，无尘包装区，阳极氧化规模为80万件，熔射规模为10万件。</w:t>
                  </w:r>
                </w:p>
              </w:tc>
              <w:tc>
                <w:tcPr>
                  <w:tcW w:w="1631" w:type="pct"/>
                  <w:tcBorders>
                    <w:tl2br w:val="nil"/>
                    <w:tr2bl w:val="nil"/>
                  </w:tcBorders>
                  <w:noWrap w:val="0"/>
                  <w:vAlign w:val="center"/>
                </w:tcPr>
                <w:p>
                  <w:pPr>
                    <w:pStyle w:val="21"/>
                    <w:bidi w:val="0"/>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2#车间一层已建设一条阳极氧化线，喷砂区域布置三台喷砂机，无尘包装区，丙酮擦拭区已建成。二层暂未建设。</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阶段性验收部分建设完成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szCs w:val="21"/>
                      <w:lang w:eastAsia="zh-CN"/>
                    </w:rPr>
                    <w:t>3#车间</w:t>
                  </w:r>
                </w:p>
              </w:tc>
              <w:tc>
                <w:tcPr>
                  <w:tcW w:w="1839" w:type="pct"/>
                  <w:tcBorders>
                    <w:tl2br w:val="nil"/>
                    <w:tr2bl w:val="nil"/>
                  </w:tcBorders>
                  <w:noWrap w:val="0"/>
                  <w:vAlign w:val="center"/>
                </w:tcPr>
                <w:p>
                  <w:pPr>
                    <w:jc w:val="center"/>
                    <w:rPr>
                      <w:rFonts w:hint="default" w:ascii="Times New Roman" w:hAnsi="Times New Roman" w:cs="Times New Roman"/>
                      <w:color w:val="000000" w:themeColor="text1"/>
                      <w:szCs w:val="36"/>
                      <w:lang w:val="en-US" w:eastAsia="zh-CN"/>
                      <w14:textFill>
                        <w14:solidFill>
                          <w14:schemeClr w14:val="tx1"/>
                        </w14:solidFill>
                      </w14:textFill>
                    </w:rPr>
                  </w:pPr>
                  <w:r>
                    <w:rPr>
                      <w:rFonts w:hint="default" w:ascii="Times New Roman" w:hAnsi="Times New Roman" w:cs="Times New Roman"/>
                      <w:szCs w:val="21"/>
                      <w:lang w:eastAsia="zh-CN"/>
                    </w:rPr>
                    <w:t>一栋两层砖混结构，占地面积2647.4平方米，建筑面积5294.8</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lang w:eastAsia="zh-CN"/>
                    </w:rPr>
                    <w:t>，一层设置压铸区域，压铸采用天然气供热，二层为压铸后半成品仓库；压铸规模为2万吨。</w:t>
                  </w:r>
                </w:p>
              </w:tc>
              <w:tc>
                <w:tcPr>
                  <w:tcW w:w="1631" w:type="pct"/>
                  <w:tcBorders>
                    <w:tl2br w:val="nil"/>
                    <w:tr2bl w:val="nil"/>
                  </w:tcBorders>
                  <w:noWrap w:val="0"/>
                  <w:vAlign w:val="center"/>
                </w:tcPr>
                <w:p>
                  <w:pPr>
                    <w:pStyle w:val="21"/>
                    <w:bidi w:val="0"/>
                    <w:ind w:firstLine="0" w:firstLineChars="0"/>
                    <w:rPr>
                      <w:rFonts w:hint="default" w:ascii="Times New Roman" w:hAnsi="Times New Roman" w:cs="Times New Roman"/>
                      <w:color w:val="auto"/>
                      <w:szCs w:val="36"/>
                      <w:lang w:val="en-US" w:eastAsia="zh-CN"/>
                    </w:rPr>
                  </w:pPr>
                  <w:r>
                    <w:rPr>
                      <w:rFonts w:hint="eastAsia" w:ascii="Times New Roman" w:hAnsi="Times New Roman" w:cs="Times New Roman"/>
                      <w:szCs w:val="21"/>
                      <w:lang w:eastAsia="zh-CN"/>
                    </w:rPr>
                    <w:t>未建设</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szCs w:val="21"/>
                      <w:lang w:eastAsia="zh-CN"/>
                    </w:rPr>
                    <w:t>铝锭锌锭堆场</w:t>
                  </w:r>
                </w:p>
              </w:tc>
              <w:tc>
                <w:tcPr>
                  <w:tcW w:w="1839" w:type="pct"/>
                  <w:tcBorders>
                    <w:tl2br w:val="nil"/>
                    <w:tr2bl w:val="nil"/>
                  </w:tcBorders>
                  <w:noWrap w:val="0"/>
                  <w:vAlign w:val="center"/>
                </w:tcPr>
                <w:p>
                  <w:pPr>
                    <w:widowControl/>
                    <w:jc w:val="center"/>
                    <w:rPr>
                      <w:rFonts w:hint="default" w:ascii="Times New Roman" w:hAnsi="Times New Roman" w:cs="Times New Roman"/>
                      <w:color w:val="auto"/>
                      <w:lang w:eastAsia="zh-CN"/>
                    </w:rPr>
                  </w:pPr>
                  <w:r>
                    <w:rPr>
                      <w:rFonts w:hint="default" w:ascii="Times New Roman" w:hAnsi="Times New Roman" w:cs="Times New Roman"/>
                      <w:szCs w:val="21"/>
                    </w:rPr>
                    <w:t>位于2#车间原材料仓库（一）南部，占地1000m</w:t>
                  </w:r>
                  <w:r>
                    <w:rPr>
                      <w:rFonts w:hint="default" w:ascii="Times New Roman" w:hAnsi="Times New Roman" w:cs="Times New Roman"/>
                      <w:szCs w:val="21"/>
                      <w:vertAlign w:val="superscript"/>
                    </w:rPr>
                    <w:t>2</w:t>
                  </w:r>
                  <w:r>
                    <w:rPr>
                      <w:rFonts w:hint="default" w:ascii="Times New Roman" w:hAnsi="Times New Roman" w:cs="Times New Roman"/>
                      <w:szCs w:val="21"/>
                    </w:rPr>
                    <w:t>，最大贮存量90吨。</w:t>
                  </w:r>
                </w:p>
              </w:tc>
              <w:tc>
                <w:tcPr>
                  <w:tcW w:w="1631"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color w:val="auto"/>
                      <w:lang w:eastAsia="zh-CN"/>
                    </w:rPr>
                  </w:pPr>
                  <w:r>
                    <w:rPr>
                      <w:rFonts w:hint="eastAsia" w:ascii="Times New Roman" w:hAnsi="Times New Roman" w:cs="Times New Roman"/>
                      <w:szCs w:val="21"/>
                      <w:lang w:eastAsia="zh-CN"/>
                    </w:rPr>
                    <w:t>已建设，</w:t>
                  </w:r>
                  <w:r>
                    <w:rPr>
                      <w:rFonts w:hint="default" w:ascii="Times New Roman" w:hAnsi="Times New Roman" w:cs="Times New Roman"/>
                      <w:szCs w:val="21"/>
                    </w:rPr>
                    <w:t>位于2#车间原材料仓库（一）南部，占地1000m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color w:val="auto"/>
                      <w:lang w:val="en-US" w:eastAsia="zh-CN"/>
                    </w:rPr>
                  </w:pPr>
                  <w:r>
                    <w:rPr>
                      <w:rFonts w:hint="default" w:ascii="Times New Roman" w:hAnsi="Times New Roman" w:cs="Times New Roman"/>
                      <w:szCs w:val="21"/>
                      <w:lang w:eastAsia="zh-CN"/>
                    </w:rPr>
                    <w:t>原材料仓库（一）</w:t>
                  </w:r>
                </w:p>
              </w:tc>
              <w:tc>
                <w:tcPr>
                  <w:tcW w:w="1839" w:type="pct"/>
                  <w:tcBorders>
                    <w:tl2br w:val="nil"/>
                    <w:tr2bl w:val="nil"/>
                  </w:tcBorders>
                  <w:noWrap w:val="0"/>
                  <w:vAlign w:val="center"/>
                </w:tcPr>
                <w:p>
                  <w:pPr>
                    <w:jc w:val="center"/>
                    <w:rPr>
                      <w:rFonts w:hint="default" w:ascii="Times New Roman" w:hAnsi="Times New Roman" w:cs="Times New Roman"/>
                      <w:color w:val="auto"/>
                      <w:szCs w:val="36"/>
                      <w:lang w:val="en-US" w:eastAsia="zh-CN"/>
                    </w:rPr>
                  </w:pPr>
                  <w:r>
                    <w:rPr>
                      <w:rFonts w:hint="default" w:ascii="Times New Roman" w:hAnsi="Times New Roman" w:cs="Times New Roman"/>
                      <w:szCs w:val="21"/>
                    </w:rPr>
                    <w:t>位于2#车间南部，占地面积1500m</w:t>
                  </w:r>
                  <w:r>
                    <w:rPr>
                      <w:rFonts w:hint="default" w:ascii="Times New Roman" w:hAnsi="Times New Roman" w:cs="Times New Roman"/>
                      <w:szCs w:val="21"/>
                      <w:vertAlign w:val="superscript"/>
                    </w:rPr>
                    <w:t>2</w:t>
                  </w:r>
                  <w:r>
                    <w:rPr>
                      <w:rFonts w:hint="default" w:ascii="Times New Roman" w:hAnsi="Times New Roman" w:cs="Times New Roman"/>
                      <w:szCs w:val="21"/>
                    </w:rPr>
                    <w:t>，其中500m</w:t>
                  </w:r>
                  <w:r>
                    <w:rPr>
                      <w:rFonts w:hint="default" w:ascii="Times New Roman" w:hAnsi="Times New Roman" w:cs="Times New Roman"/>
                      <w:szCs w:val="21"/>
                      <w:vertAlign w:val="superscript"/>
                    </w:rPr>
                    <w:t>2</w:t>
                  </w:r>
                  <w:r>
                    <w:rPr>
                      <w:rFonts w:hint="default" w:ascii="Times New Roman" w:hAnsi="Times New Roman" w:cs="Times New Roman"/>
                      <w:szCs w:val="21"/>
                    </w:rPr>
                    <w:t>用来储存一般原材料。</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eastAsia" w:ascii="Times New Roman" w:hAnsi="Times New Roman" w:cs="Times New Roman"/>
                      <w:szCs w:val="21"/>
                      <w:lang w:eastAsia="zh-CN"/>
                    </w:rPr>
                    <w:t>已建设，</w:t>
                  </w:r>
                  <w:r>
                    <w:rPr>
                      <w:rFonts w:hint="default" w:ascii="Times New Roman" w:hAnsi="Times New Roman" w:cs="Times New Roman"/>
                      <w:szCs w:val="21"/>
                    </w:rPr>
                    <w:t>位于2#车间南部，占地面积1500m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原材料仓库（二）</w:t>
                  </w:r>
                </w:p>
              </w:tc>
              <w:tc>
                <w:tcPr>
                  <w:tcW w:w="1839"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位于2#车间南部主要储存片碱、脱脂剂、封孔剂、塑粉、油漆等化学用品暂存区</w:t>
                  </w:r>
                  <w:r>
                    <w:rPr>
                      <w:rFonts w:hint="eastAsia" w:ascii="Times New Roman" w:hAnsi="Times New Roman" w:cs="Times New Roman"/>
                      <w:szCs w:val="21"/>
                      <w:lang w:eastAsia="zh-CN"/>
                    </w:rPr>
                    <w:t>。</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eastAsia="zh-CN"/>
                    </w:rPr>
                    <w:t>已建设，</w:t>
                  </w:r>
                  <w:r>
                    <w:rPr>
                      <w:rFonts w:hint="default" w:ascii="Times New Roman" w:hAnsi="Times New Roman" w:cs="Times New Roman"/>
                      <w:szCs w:val="21"/>
                    </w:rPr>
                    <w:t>位于2#车间南部主要储存片碱、脱脂剂、封孔剂等化学用品暂存区</w:t>
                  </w:r>
                  <w:r>
                    <w:rPr>
                      <w:rFonts w:hint="eastAsia" w:ascii="Times New Roman" w:hAnsi="Times New Roman" w:cs="Times New Roman"/>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成品仓库</w:t>
                  </w:r>
                </w:p>
              </w:tc>
              <w:tc>
                <w:tcPr>
                  <w:tcW w:w="1839"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位于1#车间二层，面积为5913.5m</w:t>
                  </w:r>
                  <w:r>
                    <w:rPr>
                      <w:rFonts w:hint="default" w:ascii="Times New Roman" w:hAnsi="Times New Roman" w:cs="Times New Roman"/>
                      <w:szCs w:val="21"/>
                      <w:vertAlign w:val="superscript"/>
                    </w:rPr>
                    <w:t>2</w:t>
                  </w:r>
                  <w:r>
                    <w:rPr>
                      <w:rFonts w:hint="default" w:ascii="Times New Roman" w:hAnsi="Times New Roman" w:cs="Times New Roman"/>
                      <w:szCs w:val="21"/>
                    </w:rPr>
                    <w:t>，用来成品暂存。</w:t>
                  </w:r>
                </w:p>
              </w:tc>
              <w:tc>
                <w:tcPr>
                  <w:tcW w:w="1631"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eastAsia="zh-CN"/>
                    </w:rPr>
                    <w:t>已建设，</w:t>
                  </w:r>
                  <w:r>
                    <w:rPr>
                      <w:rFonts w:hint="default" w:ascii="Times New Roman" w:hAnsi="Times New Roman" w:cs="Times New Roman"/>
                      <w:szCs w:val="21"/>
                    </w:rPr>
                    <w:t>位于</w:t>
                  </w:r>
                  <w:r>
                    <w:rPr>
                      <w:rFonts w:hint="eastAsia" w:ascii="Times New Roman" w:hAnsi="Times New Roman" w:cs="Times New Roman"/>
                      <w:szCs w:val="21"/>
                      <w:lang w:val="en-US" w:eastAsia="zh-CN"/>
                    </w:rPr>
                    <w:t>2</w:t>
                  </w:r>
                  <w:r>
                    <w:rPr>
                      <w:rFonts w:hint="default" w:ascii="Times New Roman" w:hAnsi="Times New Roman" w:cs="Times New Roman"/>
                      <w:szCs w:val="21"/>
                    </w:rPr>
                    <w:t>#车间，面积为</w:t>
                  </w:r>
                  <w:r>
                    <w:rPr>
                      <w:rFonts w:hint="eastAsia" w:ascii="Times New Roman" w:hAnsi="Times New Roman" w:cs="Times New Roman"/>
                      <w:szCs w:val="21"/>
                      <w:lang w:val="en-US" w:eastAsia="zh-CN"/>
                    </w:rPr>
                    <w:t>1000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rPr>
                    <w:t>，用来成品暂存。</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半成品仓库</w:t>
                  </w:r>
                </w:p>
              </w:tc>
              <w:tc>
                <w:tcPr>
                  <w:tcW w:w="1839"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位于3#车间二层，面积为2496.4m</w:t>
                  </w:r>
                  <w:r>
                    <w:rPr>
                      <w:rFonts w:hint="default" w:ascii="Times New Roman" w:hAnsi="Times New Roman" w:cs="Times New Roman"/>
                      <w:szCs w:val="21"/>
                      <w:vertAlign w:val="superscript"/>
                    </w:rPr>
                    <w:t>2</w:t>
                  </w:r>
                  <w:r>
                    <w:rPr>
                      <w:rFonts w:hint="default" w:ascii="Times New Roman" w:hAnsi="Times New Roman" w:cs="Times New Roman"/>
                      <w:szCs w:val="21"/>
                    </w:rPr>
                    <w:t>，用来暂存压铸后的半成品。</w:t>
                  </w:r>
                </w:p>
              </w:tc>
              <w:tc>
                <w:tcPr>
                  <w:tcW w:w="1631"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未建设</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化学品仓库</w:t>
                  </w:r>
                </w:p>
              </w:tc>
              <w:tc>
                <w:tcPr>
                  <w:tcW w:w="1839"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szCs w:val="21"/>
                    </w:rPr>
                    <w:t>厂区东北侧设置两个危</w:t>
                  </w:r>
                  <w:r>
                    <w:rPr>
                      <w:rFonts w:hint="eastAsia" w:ascii="Times New Roman" w:hAnsi="Times New Roman" w:cs="Times New Roman"/>
                      <w:szCs w:val="21"/>
                      <w:lang w:eastAsia="zh-CN"/>
                    </w:rPr>
                    <w:t>化</w:t>
                  </w:r>
                  <w:r>
                    <w:rPr>
                      <w:rFonts w:hint="default" w:ascii="Times New Roman" w:hAnsi="Times New Roman" w:cs="Times New Roman"/>
                      <w:szCs w:val="21"/>
                    </w:rPr>
                    <w:t>库，其中60m</w:t>
                  </w:r>
                  <w:r>
                    <w:rPr>
                      <w:rFonts w:hint="default" w:ascii="Times New Roman" w:hAnsi="Times New Roman" w:cs="Times New Roman"/>
                      <w:szCs w:val="21"/>
                      <w:vertAlign w:val="superscript"/>
                    </w:rPr>
                    <w:t>2</w:t>
                  </w:r>
                  <w:r>
                    <w:rPr>
                      <w:rFonts w:hint="default" w:ascii="Times New Roman" w:hAnsi="Times New Roman" w:cs="Times New Roman"/>
                      <w:szCs w:val="21"/>
                    </w:rPr>
                    <w:t>为硫酸、硝酸、草酸等化学品暂存区，40m</w:t>
                  </w:r>
                  <w:r>
                    <w:rPr>
                      <w:rFonts w:hint="default" w:ascii="Times New Roman" w:hAnsi="Times New Roman" w:cs="Times New Roman"/>
                      <w:szCs w:val="21"/>
                      <w:vertAlign w:val="superscript"/>
                    </w:rPr>
                    <w:t>2</w:t>
                  </w:r>
                  <w:r>
                    <w:rPr>
                      <w:rFonts w:hint="default" w:ascii="Times New Roman" w:hAnsi="Times New Roman" w:cs="Times New Roman"/>
                      <w:szCs w:val="21"/>
                    </w:rPr>
                    <w:t>为污水处理站危化品暂存区。</w:t>
                  </w:r>
                </w:p>
              </w:tc>
              <w:tc>
                <w:tcPr>
                  <w:tcW w:w="1631"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color w:val="auto"/>
                      <w:szCs w:val="36"/>
                      <w:lang w:val="en-US" w:eastAsia="zh-CN"/>
                    </w:rPr>
                  </w:pPr>
                  <w:r>
                    <w:rPr>
                      <w:rFonts w:hint="eastAsia" w:ascii="Times New Roman" w:hAnsi="Times New Roman" w:cs="Times New Roman"/>
                      <w:color w:val="auto"/>
                      <w:szCs w:val="36"/>
                      <w:lang w:val="en-US" w:eastAsia="zh-CN"/>
                    </w:rPr>
                    <w:t>已建设一间危险</w:t>
                  </w:r>
                  <w:r>
                    <w:rPr>
                      <w:rFonts w:hint="default" w:ascii="Times New Roman" w:hAnsi="Times New Roman" w:cs="Times New Roman"/>
                      <w:color w:val="auto"/>
                      <w:szCs w:val="21"/>
                    </w:rPr>
                    <w:t>化学品仓库</w:t>
                  </w:r>
                  <w:r>
                    <w:rPr>
                      <w:rFonts w:hint="eastAsia" w:ascii="Times New Roman" w:hAnsi="Times New Roman" w:cs="Times New Roman"/>
                      <w:color w:val="auto"/>
                      <w:szCs w:val="21"/>
                      <w:lang w:eastAsia="zh-CN"/>
                    </w:rPr>
                    <w:t>，位于污水处理站东侧，面积</w:t>
                  </w:r>
                  <w:r>
                    <w:rPr>
                      <w:rFonts w:hint="default" w:ascii="Times New Roman" w:hAnsi="Times New Roman" w:cs="Times New Roman"/>
                      <w:szCs w:val="21"/>
                    </w:rPr>
                    <w:t>40m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供电</w:t>
                  </w:r>
                </w:p>
              </w:tc>
              <w:tc>
                <w:tcPr>
                  <w:tcW w:w="1839"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项目供电由镇区供电系统供给，从变电站引入10 KV高压线路，经厂区变配电房</w:t>
                  </w:r>
                </w:p>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变压向各部分送电，年用电量400万KWh；</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项目用电接自开发区供电线路</w:t>
                  </w:r>
                  <w:r>
                    <w:rPr>
                      <w:rFonts w:hint="default" w:ascii="Times New Roman" w:hAnsi="Times New Roman" w:cs="Times New Roman"/>
                      <w:szCs w:val="21"/>
                      <w:lang w:val="en-US" w:eastAsia="zh-CN"/>
                    </w:rPr>
                    <w:t>，</w:t>
                  </w:r>
                  <w:r>
                    <w:rPr>
                      <w:rFonts w:hint="default" w:ascii="Times New Roman" w:hAnsi="Times New Roman" w:cs="Times New Roman"/>
                      <w:szCs w:val="21"/>
                    </w:rPr>
                    <w:t>年用电量</w:t>
                  </w:r>
                  <w:r>
                    <w:rPr>
                      <w:rFonts w:hint="eastAsia" w:ascii="Times New Roman" w:hAnsi="Times New Roman" w:cs="Times New Roman"/>
                      <w:szCs w:val="21"/>
                      <w:lang w:val="en-US" w:eastAsia="zh-CN"/>
                    </w:rPr>
                    <w:t>2</w:t>
                  </w:r>
                  <w:r>
                    <w:rPr>
                      <w:rFonts w:hint="default" w:ascii="Times New Roman" w:hAnsi="Times New Roman" w:cs="Times New Roman"/>
                      <w:szCs w:val="21"/>
                      <w:lang w:val="en-US" w:eastAsia="zh-CN"/>
                    </w:rPr>
                    <w:t>00</w:t>
                  </w:r>
                  <w:r>
                    <w:rPr>
                      <w:rFonts w:hint="default" w:ascii="Times New Roman" w:hAnsi="Times New Roman" w:cs="Times New Roman"/>
                      <w:szCs w:val="21"/>
                    </w:rPr>
                    <w:t>万KWh。</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Cs w:val="21"/>
                    </w:rPr>
                    <w:t>供水</w:t>
                  </w:r>
                </w:p>
              </w:tc>
              <w:tc>
                <w:tcPr>
                  <w:tcW w:w="1839"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接自港口镇自来水厂供水系统供应，用水量为166.52m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Cs w:val="21"/>
                    </w:rPr>
                    <w:t>项目用水取自</w:t>
                  </w:r>
                  <w:r>
                    <w:rPr>
                      <w:rFonts w:hint="default" w:ascii="Times New Roman" w:hAnsi="Times New Roman" w:cs="Times New Roman"/>
                      <w:szCs w:val="21"/>
                    </w:rPr>
                    <w:t>开发区</w:t>
                  </w:r>
                  <w:r>
                    <w:rPr>
                      <w:rFonts w:hint="default" w:ascii="Times New Roman" w:hAnsi="Times New Roman" w:eastAsia="宋体" w:cs="Times New Roman"/>
                      <w:color w:val="auto"/>
                      <w:szCs w:val="21"/>
                    </w:rPr>
                    <w:t>供水管网</w:t>
                  </w:r>
                  <w:r>
                    <w:rPr>
                      <w:rFonts w:hint="default" w:ascii="Times New Roman" w:hAnsi="Times New Roman" w:eastAsia="宋体" w:cs="Times New Roman"/>
                      <w:color w:val="auto"/>
                      <w:szCs w:val="21"/>
                      <w:lang w:eastAsia="zh-CN"/>
                    </w:rPr>
                    <w:t>，用水量</w:t>
                  </w:r>
                  <w:r>
                    <w:rPr>
                      <w:rFonts w:hint="eastAsia" w:ascii="Times New Roman" w:hAnsi="Times New Roman" w:cs="Times New Roman"/>
                      <w:color w:val="auto"/>
                      <w:szCs w:val="21"/>
                      <w:lang w:val="en-US" w:eastAsia="zh-CN"/>
                    </w:rPr>
                    <w:t>15000</w:t>
                  </w:r>
                  <w:r>
                    <w:rPr>
                      <w:rFonts w:hint="eastAsia" w:ascii="Times New Roman" w:hAnsi="Times New Roman" w:eastAsia="宋体" w:cs="Times New Roman"/>
                      <w:color w:val="auto"/>
                      <w:szCs w:val="21"/>
                      <w:lang w:val="en-US" w:eastAsia="zh-CN"/>
                    </w:rPr>
                    <w:t>m</w:t>
                  </w:r>
                  <w:r>
                    <w:rPr>
                      <w:rFonts w:hint="eastAsia"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/a</w:t>
                  </w:r>
                  <w:r>
                    <w:rPr>
                      <w:rFonts w:hint="default" w:ascii="Times New Roman" w:hAnsi="Times New Roman" w:eastAsia="宋体" w:cs="Times New Roman"/>
                      <w:color w:val="auto"/>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供气</w:t>
                  </w:r>
                </w:p>
              </w:tc>
              <w:tc>
                <w:tcPr>
                  <w:tcW w:w="1839" w:type="pct"/>
                  <w:tcBorders>
                    <w:tl2br w:val="nil"/>
                    <w:tr2bl w:val="nil"/>
                  </w:tcBorders>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厂区东北角设置一处天然气调压站，不设置LNG气站储存，主要用于压铸工段，天然气年用量200万m</w:t>
                  </w:r>
                  <w:r>
                    <w:rPr>
                      <w:rFonts w:hint="eastAsia" w:ascii="Times New Roman" w:hAnsi="Times New Roman" w:cs="Times New Roman"/>
                      <w:szCs w:val="21"/>
                      <w:vertAlign w:val="superscript"/>
                      <w:lang w:val="en-US" w:eastAsia="zh-CN"/>
                    </w:rPr>
                    <w:t>3</w:t>
                  </w:r>
                  <w:r>
                    <w:rPr>
                      <w:rFonts w:hint="eastAsia" w:ascii="Times New Roman" w:hAnsi="Times New Roman" w:cs="Times New Roman"/>
                      <w:szCs w:val="21"/>
                      <w:lang w:val="en-US"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未建设</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供热</w:t>
                  </w:r>
                </w:p>
              </w:tc>
              <w:tc>
                <w:tcPr>
                  <w:tcW w:w="1839"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项目喷漆及喷粉固化工序，阳极氧化生产线加热及烘干采用电加热</w:t>
                  </w:r>
                  <w:r>
                    <w:rPr>
                      <w:rFonts w:hint="eastAsia" w:ascii="Times New Roman" w:hAnsi="Times New Roman" w:cs="Times New Roman"/>
                      <w:szCs w:val="21"/>
                      <w:lang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szCs w:val="21"/>
                      <w:lang w:eastAsia="zh-CN"/>
                    </w:rPr>
                  </w:pPr>
                  <w:r>
                    <w:rPr>
                      <w:rFonts w:hint="default" w:ascii="Times New Roman" w:hAnsi="Times New Roman" w:cs="Times New Roman"/>
                      <w:szCs w:val="21"/>
                    </w:rPr>
                    <w:t>喷漆及喷粉固化工序</w:t>
                  </w:r>
                  <w:r>
                    <w:rPr>
                      <w:rFonts w:hint="eastAsia" w:ascii="Times New Roman" w:hAnsi="Times New Roman" w:cs="Times New Roman"/>
                      <w:szCs w:val="21"/>
                      <w:lang w:eastAsia="zh-CN"/>
                    </w:rPr>
                    <w:t>暂未建设，</w:t>
                  </w:r>
                  <w:r>
                    <w:rPr>
                      <w:rFonts w:hint="default" w:ascii="Times New Roman" w:hAnsi="Times New Roman" w:cs="Times New Roman"/>
                      <w:szCs w:val="21"/>
                    </w:rPr>
                    <w:t>阳极氧化生产线采用电加热</w:t>
                  </w:r>
                  <w:r>
                    <w:rPr>
                      <w:rFonts w:hint="eastAsia" w:ascii="Times New Roman" w:hAnsi="Times New Roman" w:cs="Times New Roman"/>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Cs w:val="21"/>
                    </w:rPr>
                    <w:t>排水</w:t>
                  </w:r>
                </w:p>
              </w:tc>
              <w:tc>
                <w:tcPr>
                  <w:tcW w:w="1839"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Cs w:val="21"/>
                    </w:rPr>
                    <w:t>实行清污分流到园区管网，项目生产废水经过厂区污水设施处理达标、生活污水经化粪池预处理后经厂区总排口排入港口园区污水处理厂，最终排入水阳江；建成后项目排水量为145.86m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szCs w:val="21"/>
                    </w:rPr>
                    <w:t>雨污分流；</w:t>
                  </w:r>
                  <w:r>
                    <w:rPr>
                      <w:rFonts w:hint="eastAsia" w:ascii="Times New Roman" w:hAnsi="Times New Roman" w:cs="Times New Roman"/>
                      <w:szCs w:val="21"/>
                      <w:lang w:eastAsia="zh-CN"/>
                    </w:rPr>
                    <w:t>本项目</w:t>
                  </w:r>
                  <w:r>
                    <w:rPr>
                      <w:rFonts w:hint="default" w:ascii="Times New Roman" w:hAnsi="Times New Roman" w:eastAsia="宋体" w:cs="Times New Roman"/>
                      <w:color w:val="auto"/>
                      <w:szCs w:val="21"/>
                      <w:lang w:eastAsia="zh-CN"/>
                    </w:rPr>
                    <w:t>生活污水经化粪池处理、生产废水经厂区自建的污水处理站处理，达标后经市政污水管网排入</w:t>
                  </w:r>
                  <w:r>
                    <w:rPr>
                      <w:rFonts w:hint="eastAsia" w:ascii="Times New Roman" w:hAnsi="Times New Roman" w:eastAsia="宋体" w:cs="Times New Roman"/>
                      <w:color w:val="auto"/>
                      <w:szCs w:val="21"/>
                      <w:lang w:eastAsia="zh-CN"/>
                    </w:rPr>
                    <w:t>港口</w:t>
                  </w:r>
                  <w:r>
                    <w:rPr>
                      <w:rFonts w:hint="default" w:ascii="Times New Roman" w:hAnsi="Times New Roman" w:eastAsia="宋体" w:cs="Times New Roman"/>
                      <w:color w:val="auto"/>
                      <w:szCs w:val="21"/>
                      <w:lang w:eastAsia="zh-CN"/>
                    </w:rPr>
                    <w:t>污水处理厂，处理达标后排入</w:t>
                  </w:r>
                  <w:r>
                    <w:rPr>
                      <w:rFonts w:hint="eastAsia" w:ascii="Times New Roman" w:hAnsi="Times New Roman" w:eastAsia="宋体" w:cs="Times New Roman"/>
                      <w:color w:val="auto"/>
                      <w:szCs w:val="21"/>
                      <w:lang w:eastAsia="zh-CN"/>
                    </w:rPr>
                    <w:t>水阳江</w:t>
                  </w:r>
                  <w:r>
                    <w:rPr>
                      <w:rFonts w:hint="default" w:ascii="Times New Roman" w:hAnsi="Times New Roman" w:eastAsia="宋体" w:cs="Times New Roman"/>
                      <w:color w:val="auto"/>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Cs w:val="21"/>
                    </w:rPr>
                    <w:t>办公综合楼</w:t>
                  </w:r>
                </w:p>
              </w:tc>
              <w:tc>
                <w:tcPr>
                  <w:tcW w:w="1839"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五层结构，位于厂区东南侧，占地面积1051.2m</w:t>
                  </w:r>
                  <w:r>
                    <w:rPr>
                      <w:rFonts w:hint="default" w:ascii="Times New Roman" w:hAnsi="Times New Roman" w:cs="Times New Roman"/>
                      <w:szCs w:val="21"/>
                      <w:vertAlign w:val="superscript"/>
                    </w:rPr>
                    <w:t>2</w:t>
                  </w:r>
                  <w:r>
                    <w:rPr>
                      <w:rFonts w:hint="default" w:ascii="Times New Roman" w:hAnsi="Times New Roman" w:cs="Times New Roman"/>
                      <w:szCs w:val="21"/>
                    </w:rPr>
                    <w:t>，1层食堂接待大厅，2~4层为办公区，5层为宿舍。</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0"/>
                      <w:szCs w:val="21"/>
                      <w:lang w:eastAsia="zh-CN"/>
                    </w:rPr>
                    <w:t>未建设</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szCs w:val="21"/>
                      <w:lang w:eastAsia="zh-CN"/>
                    </w:rPr>
                    <w:t>配电房</w:t>
                  </w:r>
                </w:p>
              </w:tc>
              <w:tc>
                <w:tcPr>
                  <w:tcW w:w="1839" w:type="pct"/>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szCs w:val="21"/>
                      <w:lang w:eastAsia="zh-CN"/>
                    </w:rPr>
                    <w:t>位于1#车间西部，占地面积50m</w:t>
                  </w:r>
                  <w:r>
                    <w:rPr>
                      <w:rFonts w:hint="default" w:ascii="Times New Roman" w:hAnsi="Times New Roman" w:cs="Times New Roman"/>
                      <w:szCs w:val="21"/>
                      <w:vertAlign w:val="superscript"/>
                      <w:lang w:eastAsia="zh-CN"/>
                    </w:rPr>
                    <w:t>2</w:t>
                  </w:r>
                  <w:r>
                    <w:rPr>
                      <w:rFonts w:hint="default" w:ascii="Times New Roman" w:hAnsi="Times New Roman" w:cs="Times New Roman"/>
                      <w:szCs w:val="21"/>
                      <w:lang w:eastAsia="zh-CN"/>
                    </w:rPr>
                    <w:t>，厂区配电房变压后向各用电点送电</w:t>
                  </w:r>
                  <w:r>
                    <w:rPr>
                      <w:rFonts w:hint="default" w:ascii="Times New Roman" w:hAnsi="Times New Roman" w:cs="Times New Roman"/>
                      <w:szCs w:val="21"/>
                      <w:lang w:val="en-US" w:eastAsia="zh-CN"/>
                    </w:rPr>
                    <w:t>。</w:t>
                  </w:r>
                </w:p>
              </w:tc>
              <w:tc>
                <w:tcPr>
                  <w:tcW w:w="1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szCs w:val="21"/>
                      <w:lang w:eastAsia="zh-CN"/>
                    </w:rPr>
                    <w:t>位于1#车间西部，占地面积50m</w:t>
                  </w:r>
                  <w:r>
                    <w:rPr>
                      <w:rFonts w:hint="default" w:ascii="Times New Roman" w:hAnsi="Times New Roman" w:cs="Times New Roman"/>
                      <w:szCs w:val="21"/>
                      <w:vertAlign w:val="superscript"/>
                      <w:lang w:eastAsia="zh-CN"/>
                    </w:rPr>
                    <w:t>2</w:t>
                  </w:r>
                  <w:r>
                    <w:rPr>
                      <w:rFonts w:hint="default" w:ascii="Times New Roman" w:hAnsi="Times New Roman" w:cs="Times New Roman"/>
                      <w:szCs w:val="21"/>
                      <w:lang w:eastAsia="zh-CN"/>
                    </w:rPr>
                    <w:t>，厂区配电房变压后向各用电点送电</w:t>
                  </w:r>
                  <w:r>
                    <w:rPr>
                      <w:rFonts w:hint="default" w:ascii="Times New Roman" w:hAnsi="Times New Roman" w:cs="Times New Roman"/>
                      <w:szCs w:val="21"/>
                      <w:lang w:val="en-US"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lang w:eastAsia="zh-CN"/>
                    </w:rPr>
                    <w:t>熔化炉天然气燃烧废气：通过1根20m高排气筒排放（1#）</w:t>
                  </w:r>
                  <w:r>
                    <w:rPr>
                      <w:rFonts w:hint="eastAsia" w:ascii="Times New Roman" w:hAnsi="Times New Roman" w:cs="Times New Roman"/>
                      <w:lang w:eastAsia="zh-CN"/>
                    </w:rPr>
                    <w:t>。</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基本一致，部分工序未建设，不在此次验收范围内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压铸和脱模废气：布袋除尘器+二级活性炭吸附装置处理后，通过1根20m高排气</w:t>
                  </w:r>
                </w:p>
                <w:p>
                  <w:pPr>
                    <w:pStyle w:val="21"/>
                    <w:snapToGrid w:val="0"/>
                    <w:spacing w:line="240" w:lineRule="auto"/>
                    <w:ind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筒排放（2#）</w:t>
                  </w:r>
                  <w:r>
                    <w:rPr>
                      <w:rFonts w:hint="eastAsia" w:ascii="Times New Roman" w:hAnsi="Times New Roman" w:cs="Times New Roman"/>
                      <w:lang w:eastAsia="zh-CN"/>
                    </w:rPr>
                    <w:t>。</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抛丸废气：封闭设备+布袋除尘器处理后，通过1根20m高排气筒排放（3#）</w:t>
                  </w:r>
                  <w:r>
                    <w:rPr>
                      <w:rFonts w:hint="eastAsia" w:ascii="Times New Roman" w:hAnsi="Times New Roman" w:cs="Times New Roman"/>
                      <w:lang w:eastAsia="zh-CN"/>
                    </w:rPr>
                    <w:t>。</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cs="Times New Roman"/>
                      <w:lang w:eastAsia="zh-CN"/>
                    </w:rPr>
                    <w:t>喷砂废气：封闭区域+布袋除尘器处理后，通过1根20m高排气筒排放（4#）。</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lang w:eastAsia="zh-CN"/>
                    </w:rPr>
                    <w:t>喷砂废气经二级布袋除尘器处理后，通过1根20m高排气筒（</w:t>
                  </w:r>
                  <w:r>
                    <w:rPr>
                      <w:rFonts w:hint="eastAsia" w:ascii="Times New Roman" w:hAnsi="Times New Roman" w:cs="Times New Roman"/>
                      <w:lang w:val="en-US" w:eastAsia="zh-CN"/>
                    </w:rPr>
                    <w:t>DA001</w:t>
                  </w:r>
                  <w:r>
                    <w:rPr>
                      <w:rFonts w:hint="eastAsia" w:ascii="Times New Roman" w:hAnsi="Times New Roman" w:cs="Times New Roman"/>
                      <w:lang w:eastAsia="zh-CN"/>
                    </w:rPr>
                    <w:t>）排放。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激光切割：布袋除尘器处理后，通过1根20m高排气筒排放（5#）。</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焊接：设置封闭的焊接区域，通过焊接烟尘净化器处理后，无组织排放。</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丙酮洗、丙酮擦拭废气：丙酮洗采用密闭+槽边抽风+顶部抽风收集，擦拭采用无尘包装室+集气罩收集后，经两级活性炭处理后，通过1根20m高排气筒排放（6#）。</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lang w:eastAsia="zh-CN"/>
                    </w:rPr>
                    <w:t>丙酮擦拭废气采用无尘室+集气罩收集后，经两级活性炭吸附装置处理后，通过1根20m高排气筒（</w:t>
                  </w:r>
                  <w:r>
                    <w:rPr>
                      <w:rFonts w:hint="eastAsia" w:ascii="Times New Roman" w:hAnsi="Times New Roman" w:cs="Times New Roman"/>
                      <w:lang w:val="en-US" w:eastAsia="zh-CN"/>
                    </w:rPr>
                    <w:t>DA004</w:t>
                  </w:r>
                  <w:r>
                    <w:rPr>
                      <w:rFonts w:hint="eastAsia" w:ascii="Times New Roman" w:hAnsi="Times New Roman" w:cs="Times New Roman"/>
                      <w:lang w:eastAsia="zh-CN"/>
                    </w:rPr>
                    <w:t>）排放。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熔射废气：密闭设备+布袋除尘器处理后，通过20m高排气筒排放（7#）。</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喷塑粉尘：密闭静电喷涂房+负压抽吸+滤筒回收+脉冲除尘器处理后通过20m高排气筒排放（8#）。</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喷塑后固化废气：局部密闭+负压抽风+两级活性炭一体机设备处理，经3#排气筒</w:t>
                  </w:r>
                </w:p>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排放（9#）。</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喷漆过程（调漆、喷漆、流平、喷枪清洗）的漆雾及有机废气经过局部密闭+负压抽风+干式过滤器+两级活性炭处理后再经过1根20m高排气筒排放（10#）。</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漆膜烘干：密闭烘干室+两级活性炭处理后，经过20m高排气筒排放（11#）。</w:t>
                  </w:r>
                </w:p>
              </w:tc>
              <w:tc>
                <w:tcPr>
                  <w:tcW w:w="1631" w:type="pct"/>
                  <w:tcBorders>
                    <w:tl2br w:val="nil"/>
                    <w:tr2bl w:val="nil"/>
                  </w:tcBorders>
                  <w:noWrap w:val="0"/>
                  <w:vAlign w:val="center"/>
                </w:tcPr>
                <w:p>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eastAsia="zh-CN"/>
                    </w:rPr>
                  </w:pPr>
                  <w:r>
                    <w:rPr>
                      <w:rFonts w:hint="eastAsia" w:ascii="Times New Roman" w:hAnsi="Times New Roman" w:cs="Times New Roman"/>
                      <w:lang w:val="en-US" w:eastAsia="zh-CN"/>
                    </w:rPr>
                    <w:t>酸洗、硝酸出光、阳极氧化：阳极氧化区域封闭，废气经过再建封闭槽+两侧槽边抽风+顶部抽风收集+碱液喷淋塔处理后通过1根20m高排气筒排放（12#）。</w:t>
                  </w:r>
                </w:p>
              </w:tc>
              <w:tc>
                <w:tcPr>
                  <w:tcW w:w="1631" w:type="pct"/>
                  <w:tcBorders>
                    <w:tl2br w:val="nil"/>
                    <w:tr2bl w:val="nil"/>
                  </w:tcBorders>
                  <w:noWrap w:val="0"/>
                  <w:vAlign w:val="center"/>
                </w:tcPr>
                <w:p>
                  <w:pPr>
                    <w:snapToGrid w:val="0"/>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lang w:eastAsia="zh-CN"/>
                    </w:rPr>
                    <w:t>阳极氧化废气产生的硫酸雾、氮氧化物经</w:t>
                  </w:r>
                  <w:r>
                    <w:rPr>
                      <w:rFonts w:hint="eastAsia" w:ascii="Times New Roman" w:hAnsi="Times New Roman" w:cs="Times New Roman"/>
                      <w:lang w:val="en-US" w:eastAsia="zh-CN"/>
                    </w:rPr>
                    <w:t>两侧槽边抽风+顶部抽风收集，</w:t>
                  </w:r>
                  <w:r>
                    <w:rPr>
                      <w:rFonts w:hint="eastAsia" w:ascii="Times New Roman" w:hAnsi="Times New Roman" w:cs="Times New Roman"/>
                      <w:lang w:eastAsia="zh-CN"/>
                    </w:rPr>
                    <w:t>通过两套</w:t>
                  </w:r>
                  <w:r>
                    <w:rPr>
                      <w:rFonts w:hint="eastAsia" w:ascii="Times New Roman" w:hAnsi="Times New Roman" w:cs="Times New Roman"/>
                      <w:lang w:val="en-US" w:eastAsia="zh-CN"/>
                    </w:rPr>
                    <w:t>碱液喷淋塔处理后，通过2根20</w:t>
                  </w:r>
                  <w:r>
                    <w:rPr>
                      <w:rFonts w:hint="default" w:ascii="Times New Roman" w:hAnsi="Times New Roman" w:cs="Times New Roman"/>
                    </w:rPr>
                    <w:t>m高排气筒（DA00</w:t>
                  </w:r>
                  <w:r>
                    <w:rPr>
                      <w:rFonts w:hint="eastAsia" w:ascii="Times New Roman" w:hAnsi="Times New Roman" w:cs="Times New Roman"/>
                      <w:lang w:val="en-US" w:eastAsia="zh-CN"/>
                    </w:rPr>
                    <w:t>2、DA003</w:t>
                  </w:r>
                  <w:r>
                    <w:rPr>
                      <w:rFonts w:hint="default" w:ascii="Times New Roman" w:hAnsi="Times New Roman" w:cs="Times New Roman"/>
                    </w:rPr>
                    <w:t>）排放</w:t>
                  </w:r>
                  <w:r>
                    <w:rPr>
                      <w:rFonts w:hint="eastAsia" w:ascii="Times New Roman" w:hAnsi="Times New Roman" w:cs="Times New Roman"/>
                      <w:lang w:eastAsia="zh-CN"/>
                    </w:rPr>
                    <w:t>。</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eastAsia="zh-CN"/>
                    </w:rPr>
                    <w:t>厂区采取雨污分流，建设1座污水处理中心处理生产废水，位于厂区东北侧，分别对含油废水采取隔油+气浮预处理，其他废水采取化学混凝沉淀预处理，预处理后废水混合后经进一步“AO生化+反硝化滤池+终沉池”进行脱氮处理。处理后的废水进入港口污水处理厂进一步进行处理。废水处理规模为150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/d。生产废水处理达标后与生活废水等统一经厂区总排口进入港口污水处理厂处理达到《城镇污水处理厂污染物排放标准》（GB18918-2002）一级B标准后排入水阳</w:t>
                  </w:r>
                  <w:r>
                    <w:rPr>
                      <w:rFonts w:hint="eastAsia" w:ascii="Times New Roman" w:hAnsi="Times New Roman" w:cs="Times New Roman"/>
                      <w:szCs w:val="21"/>
                      <w:lang w:eastAsia="zh-CN"/>
                    </w:rPr>
                    <w:t>江</w:t>
                  </w:r>
                  <w:r>
                    <w:rPr>
                      <w:rFonts w:hint="default" w:ascii="Times New Roman" w:hAnsi="Times New Roman" w:cs="Times New Roman"/>
                      <w:szCs w:val="21"/>
                      <w:lang w:eastAsia="zh-CN"/>
                    </w:rPr>
                    <w:t>。</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eastAsia="zh-CN"/>
                    </w:rPr>
                    <w:t>本项目</w:t>
                  </w:r>
                  <w:r>
                    <w:rPr>
                      <w:rFonts w:hint="default" w:ascii="Times New Roman" w:hAnsi="Times New Roman" w:eastAsia="宋体" w:cs="Times New Roman"/>
                      <w:color w:val="auto"/>
                      <w:szCs w:val="21"/>
                      <w:lang w:eastAsia="zh-CN"/>
                    </w:rPr>
                    <w:t>生活污水经化粪池处理、生产废水经厂区自建的污水处理站处理，经污水管网排入</w:t>
                  </w:r>
                  <w:r>
                    <w:rPr>
                      <w:rFonts w:hint="eastAsia" w:ascii="Times New Roman" w:hAnsi="Times New Roman" w:cs="Times New Roman"/>
                      <w:color w:val="auto"/>
                      <w:szCs w:val="21"/>
                      <w:lang w:eastAsia="zh-CN"/>
                    </w:rPr>
                    <w:t>港口</w:t>
                  </w:r>
                  <w:r>
                    <w:rPr>
                      <w:rFonts w:hint="default" w:ascii="Times New Roman" w:hAnsi="Times New Roman" w:eastAsia="宋体" w:cs="Times New Roman"/>
                      <w:color w:val="auto"/>
                      <w:szCs w:val="21"/>
                      <w:lang w:eastAsia="zh-CN"/>
                    </w:rPr>
                    <w:t>污水处理厂，处理达标后排入</w:t>
                  </w:r>
                  <w:r>
                    <w:rPr>
                      <w:rFonts w:hint="eastAsia" w:ascii="Times New Roman" w:hAnsi="Times New Roman" w:cs="Times New Roman"/>
                      <w:color w:val="auto"/>
                      <w:szCs w:val="21"/>
                      <w:lang w:eastAsia="zh-CN"/>
                    </w:rPr>
                    <w:t>水阳江</w:t>
                  </w:r>
                  <w:r>
                    <w:rPr>
                      <w:rFonts w:hint="default" w:ascii="Times New Roman" w:hAnsi="Times New Roman" w:eastAsia="宋体" w:cs="Times New Roman"/>
                      <w:color w:val="auto"/>
                      <w:szCs w:val="21"/>
                      <w:lang w:eastAsia="zh-CN"/>
                    </w:rPr>
                    <w:t>。</w:t>
                  </w:r>
                  <w:r>
                    <w:rPr>
                      <w:rFonts w:hint="eastAsia" w:ascii="Times New Roman" w:hAnsi="Times New Roman" w:cs="Times New Roman"/>
                      <w:color w:val="auto"/>
                      <w:szCs w:val="21"/>
                      <w:lang w:eastAsia="zh-CN"/>
                    </w:rPr>
                    <w:t>公司已与港口污水处理厂签订废水纳管协议。</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Cs w:val="21"/>
                    </w:rPr>
                    <w:t>主要针对噪声源采取相应的隔声、减振等措施</w:t>
                  </w:r>
                  <w:r>
                    <w:rPr>
                      <w:rFonts w:hint="eastAsia" w:ascii="Times New Roman" w:hAnsi="Times New Roman" w:cs="Times New Roman"/>
                      <w:szCs w:val="21"/>
                      <w:lang w:eastAsia="zh-CN"/>
                    </w:rPr>
                    <w:t>。</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选用低噪声设备，优化车间内设备</w:t>
                  </w:r>
                  <w:r>
                    <w:rPr>
                      <w:rFonts w:hint="default" w:ascii="Times New Roman" w:hAnsi="Times New Roman" w:cs="Times New Roman"/>
                      <w:sz w:val="21"/>
                      <w:szCs w:val="21"/>
                      <w:lang w:eastAsia="zh-CN"/>
                    </w:rPr>
                    <w:t>布局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采取隔</w:t>
                  </w:r>
                  <w:r>
                    <w:rPr>
                      <w:rFonts w:hint="default" w:ascii="Times New Roman" w:hAnsi="Times New Roman" w:eastAsia="宋体" w:cs="Times New Roman"/>
                      <w:sz w:val="21"/>
                      <w:szCs w:val="21"/>
                      <w:lang w:eastAsia="zh-CN"/>
                    </w:rPr>
                    <w:t>声</w:t>
                  </w:r>
                  <w:r>
                    <w:rPr>
                      <w:rFonts w:hint="default" w:ascii="Times New Roman" w:hAnsi="Times New Roman" w:eastAsia="宋体" w:cs="Times New Roman"/>
                      <w:sz w:val="21"/>
                      <w:szCs w:val="21"/>
                    </w:rPr>
                    <w:t>减震</w:t>
                  </w:r>
                  <w:r>
                    <w:rPr>
                      <w:rFonts w:hint="default" w:ascii="Times New Roman" w:hAnsi="Times New Roman" w:eastAsia="宋体" w:cs="Times New Roman"/>
                      <w:sz w:val="21"/>
                      <w:szCs w:val="21"/>
                      <w:lang w:eastAsia="zh-CN"/>
                    </w:rPr>
                    <w:t>等降噪</w:t>
                  </w:r>
                  <w:r>
                    <w:rPr>
                      <w:rFonts w:hint="default" w:ascii="Times New Roman" w:hAnsi="Times New Roman" w:eastAsia="宋体" w:cs="Times New Roman"/>
                      <w:sz w:val="21"/>
                      <w:szCs w:val="21"/>
                    </w:rPr>
                    <w:t>措施</w:t>
                  </w:r>
                  <w:r>
                    <w:rPr>
                      <w:rFonts w:hint="default" w:ascii="Times New Roman" w:hAnsi="Times New Roman" w:cs="Times New Roman"/>
                      <w:sz w:val="21"/>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设置一个一般工业固废暂存库，位于1#厂区东侧，占地100m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，用于生产过程中金属毛坯边角料的暂存，一般工业固废暂存后均可综合利用。</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36"/>
                      <w:lang w:val="en-US" w:eastAsia="zh-CN"/>
                    </w:rPr>
                    <w:t>建设一般</w:t>
                  </w:r>
                  <w:r>
                    <w:rPr>
                      <w:rFonts w:hint="default" w:ascii="Times New Roman" w:hAnsi="Times New Roman" w:cs="Times New Roman"/>
                      <w:color w:val="auto"/>
                      <w:kern w:val="0"/>
                      <w:szCs w:val="21"/>
                    </w:rPr>
                    <w:t>工业固废暂存</w:t>
                  </w:r>
                  <w:r>
                    <w:rPr>
                      <w:rFonts w:hint="eastAsia" w:ascii="Times New Roman" w:hAnsi="Times New Roman" w:cs="Times New Roman"/>
                      <w:color w:val="auto"/>
                      <w:kern w:val="0"/>
                      <w:szCs w:val="21"/>
                      <w:lang w:eastAsia="zh-CN"/>
                    </w:rPr>
                    <w:t>区域</w:t>
                  </w:r>
                  <w:r>
                    <w:rPr>
                      <w:rFonts w:hint="eastAsia" w:ascii="Times New Roman" w:hAnsi="Times New Roman" w:cs="Times New Roman"/>
                      <w:color w:val="auto"/>
                      <w:szCs w:val="21"/>
                      <w:lang w:eastAsia="zh-CN"/>
                    </w:rPr>
                    <w:t>，位于污水处理站东侧，面积</w:t>
                  </w:r>
                  <w:r>
                    <w:rPr>
                      <w:rFonts w:hint="eastAsia" w:ascii="Times New Roman" w:hAnsi="Times New Roman" w:cs="Times New Roman"/>
                      <w:szCs w:val="21"/>
                      <w:lang w:val="en-US" w:eastAsia="zh-CN"/>
                    </w:rPr>
                    <w:t>5</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设置专门的危险废物固废暂存库，位于厂区北侧，占地300m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，用于暂存生产过程中产生的废油剂桶、废酸碱包装材料、污泥等危险废物，危险废物定期交由资质单位处理。</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cs="Times New Roman"/>
                      <w:color w:val="auto"/>
                      <w:szCs w:val="36"/>
                      <w:lang w:val="en-US" w:eastAsia="zh-CN"/>
                    </w:rPr>
                    <w:t>建设一间危废</w:t>
                  </w:r>
                  <w:r>
                    <w:rPr>
                      <w:rFonts w:hint="default" w:ascii="Times New Roman" w:hAnsi="Times New Roman" w:cs="Times New Roman"/>
                      <w:color w:val="auto"/>
                      <w:szCs w:val="21"/>
                    </w:rPr>
                    <w:t>库</w:t>
                  </w:r>
                  <w:r>
                    <w:rPr>
                      <w:rFonts w:hint="eastAsia" w:ascii="Times New Roman" w:hAnsi="Times New Roman" w:cs="Times New Roman"/>
                      <w:color w:val="auto"/>
                      <w:szCs w:val="21"/>
                      <w:lang w:eastAsia="zh-CN"/>
                    </w:rPr>
                    <w:t>，位于污水处理站旁，面积</w:t>
                  </w:r>
                  <w:r>
                    <w:rPr>
                      <w:rFonts w:hint="eastAsia" w:ascii="Times New Roman" w:hAnsi="Times New Roman" w:cs="Times New Roman"/>
                      <w:szCs w:val="21"/>
                      <w:lang w:val="en-US" w:eastAsia="zh-CN"/>
                    </w:rPr>
                    <w:t>10</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生活垃圾由环卫部门统一清运。</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生活垃圾由环卫部门统一清运。</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w:t>
                  </w:r>
                </w:p>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防范措施</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分区防渗，其中原材料仓库、2#车间阳极氧化生产线、1#车间喷粉生产线、喷漆生产线、污水处理站、事故水池、污水输送管道区域、危废暂存库等区域为重点防渗区，地坪采用抗渗混凝土为基础，表层采用环氧树脂防腐处理，此外配套污水管道、管沟也采取防腐防渗漏措施。</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分区防渗，其中2#车间阳极氧化生产线、污水处理站、事故水池、污水输送管道区域、危废暂存库等区域为重点防渗区，地坪采用抗渗混凝土为基础，表层采用环氧树脂防腐处理，此外配套污水管道、管沟也采取防腐防渗漏措施。</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环境风险防范</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在2#车间东侧设置应急事故池，水池容积400m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已建设一座</w:t>
                  </w:r>
                  <w:r>
                    <w:rPr>
                      <w:rFonts w:hint="default" w:ascii="Times New Roman" w:hAnsi="Times New Roman" w:eastAsia="宋体" w:cs="Times New Roman"/>
                      <w:bCs/>
                      <w:color w:val="auto"/>
                      <w:sz w:val="21"/>
                      <w:szCs w:val="21"/>
                      <w:lang w:eastAsia="zh-CN"/>
                    </w:rPr>
                    <w:t>400m</w:t>
                  </w:r>
                  <w:r>
                    <w:rPr>
                      <w:rFonts w:hint="default" w:ascii="Times New Roman" w:hAnsi="Times New Roman" w:eastAsia="宋体" w:cs="Times New Roman"/>
                      <w:bCs/>
                      <w:color w:val="auto"/>
                      <w:sz w:val="21"/>
                      <w:szCs w:val="21"/>
                      <w:vertAlign w:val="superscript"/>
                      <w:lang w:eastAsia="zh-CN"/>
                    </w:rPr>
                    <w:t>3</w:t>
                  </w:r>
                  <w:r>
                    <w:rPr>
                      <w:rFonts w:hint="default" w:ascii="Times New Roman" w:hAnsi="Times New Roman" w:eastAsia="宋体" w:cs="Times New Roman"/>
                      <w:bCs/>
                      <w:color w:val="auto"/>
                      <w:sz w:val="21"/>
                      <w:szCs w:val="21"/>
                      <w:lang w:eastAsia="zh-CN"/>
                    </w:rPr>
                    <w:t>应急事故池</w:t>
                  </w:r>
                  <w:r>
                    <w:rPr>
                      <w:rFonts w:hint="eastAsia" w:ascii="Times New Roman" w:hAnsi="Times New Roman" w:cs="Times New Roman"/>
                      <w:bCs/>
                      <w:color w:val="auto"/>
                      <w:sz w:val="21"/>
                      <w:szCs w:val="21"/>
                      <w:lang w:eastAsia="zh-CN"/>
                    </w:rPr>
                    <w:t>，位于污水处理站旁</w:t>
                  </w:r>
                  <w:r>
                    <w:rPr>
                      <w:rFonts w:hint="default" w:ascii="Times New Roman" w:hAnsi="Times New Roman" w:eastAsia="宋体" w:cs="Times New Roman"/>
                      <w:bCs/>
                      <w:color w:val="auto"/>
                      <w:sz w:val="21"/>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2137"/>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安徽省宣城市宁国市经济技术开发区港口产业园明心路东侧</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安徽省宣城市宁国市经济技术开发区港口产业园明心路东侧</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w:t>
                  </w:r>
                  <w:r>
                    <w:rPr>
                      <w:rFonts w:hint="eastAsia" w:ascii="Times New Roman" w:hAnsi="Times New Roman" w:eastAsia="宋体" w:cs="Times New Roman"/>
                      <w:spacing w:val="-10"/>
                      <w:sz w:val="21"/>
                      <w:szCs w:val="21"/>
                      <w:lang w:val="en-US" w:eastAsia="zh-CN"/>
                    </w:rPr>
                    <w:t>200万</w:t>
                  </w:r>
                  <w:r>
                    <w:rPr>
                      <w:rFonts w:hint="default" w:ascii="Times New Roman" w:hAnsi="Times New Roman" w:eastAsia="宋体" w:cs="Times New Roman"/>
                      <w:spacing w:val="-10"/>
                      <w:sz w:val="21"/>
                      <w:szCs w:val="21"/>
                    </w:rPr>
                    <w:t>件半导体零部件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0万</w:t>
                  </w:r>
                  <w:r>
                    <w:rPr>
                      <w:rFonts w:hint="default" w:ascii="Times New Roman" w:hAnsi="Times New Roman" w:eastAsia="宋体" w:cs="Times New Roman"/>
                      <w:spacing w:val="-10"/>
                      <w:sz w:val="21"/>
                      <w:szCs w:val="21"/>
                    </w:rPr>
                    <w:t>件半导体零部件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w:t>
                  </w:r>
                  <w:r>
                    <w:rPr>
                      <w:rFonts w:hint="eastAsia" w:ascii="Times New Roman" w:hAnsi="Times New Roman" w:eastAsia="宋体" w:cs="Times New Roman"/>
                      <w:spacing w:val="-10"/>
                      <w:sz w:val="21"/>
                      <w:szCs w:val="21"/>
                      <w:lang w:val="en-US" w:eastAsia="zh-CN"/>
                    </w:rPr>
                    <w:t>200万</w:t>
                  </w:r>
                  <w:r>
                    <w:rPr>
                      <w:rFonts w:hint="default" w:ascii="Times New Roman" w:hAnsi="Times New Roman" w:eastAsia="宋体" w:cs="Times New Roman"/>
                      <w:spacing w:val="-10"/>
                      <w:sz w:val="21"/>
                      <w:szCs w:val="21"/>
                    </w:rPr>
                    <w:t>件半导体零部件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0万</w:t>
                  </w:r>
                  <w:r>
                    <w:rPr>
                      <w:rFonts w:hint="default" w:ascii="Times New Roman" w:hAnsi="Times New Roman" w:eastAsia="宋体" w:cs="Times New Roman"/>
                      <w:spacing w:val="-10"/>
                      <w:sz w:val="21"/>
                      <w:szCs w:val="21"/>
                    </w:rPr>
                    <w:t>件半导体零部件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2137"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安徽省宣城市宁国市经济技术开发区港口产业园明心路东侧</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安徽省宣城市宁国市经济技术开发区港口产业园明心路东侧</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熔化炉天然气燃烧废气：通过1根20m高排气筒排放（1#）。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压铸和脱模废气：布袋除尘器+二级活性炭吸附装置处理后，通过1根20m高排气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筒排放（2#）。</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抛丸废气：封闭设备+布袋除尘器处理后，通过1根20m高排气筒排放（3#）。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喷砂废气：封闭区域+布袋除尘器处理后，通过1根20m高排气筒排放（4#）。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激光切割：布袋除尘器处理后，通过1根20m高排气筒排放（5#）。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焊接：设置封闭的焊接区域，通过焊接烟尘净化器处理后，无组织排放。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丙酮洗、丙酮擦拭废气：丙酮洗采用密闭+槽边抽风+顶部抽风收集，擦拭采用无尘包装室+集气罩收集后，经两级活性炭处理后，通过1根20m高排气筒排放（6#）。</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熔射废气：密闭设备+布袋除尘器处理后，通过20m高排气筒排放（7#）。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喷塑粉尘：密闭静电喷涂房+负压抽吸+滤筒回收+脉冲除尘器处理后通过20m高</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排气筒排放（8#）。</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喷塑后固化废气：局部密闭+负压抽风+两级活性炭一体机设备处理，经3#排气筒</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排放（9#）。</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喷漆过程（调漆、喷漆、流平、喷枪清洗）的漆雾及有机废气经过局部密闭+负压抽风+干式过滤器+两级活性炭处理后再经过1根20m高排气筒排放（10#）。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漆膜烘干：密闭烘干室+两级活性炭处理后，经过20m高排气筒排放（11#）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lang w:eastAsia="zh-CN"/>
                    </w:rPr>
                    <w:t>酸洗、硝酸出光、阳极氧化：阳极氧化区域封闭，废气经过再建封闭槽+两侧槽边抽风+顶部抽风收集+碱液喷淋塔处理后通过1根20m高排气筒排放（12#）。</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lang w:eastAsia="zh-CN"/>
                    </w:rPr>
                    <w:t>喷砂废气经二级布袋除尘器处理后，通过1根20m高排气筒（</w:t>
                  </w:r>
                  <w:r>
                    <w:rPr>
                      <w:rFonts w:hint="eastAsia" w:ascii="Times New Roman" w:hAnsi="Times New Roman" w:cs="Times New Roman"/>
                      <w:lang w:val="en-US" w:eastAsia="zh-CN"/>
                    </w:rPr>
                    <w:t>DA001</w:t>
                  </w:r>
                  <w:r>
                    <w:rPr>
                      <w:rFonts w:hint="eastAsia" w:ascii="Times New Roman" w:hAnsi="Times New Roman" w:cs="Times New Roman"/>
                      <w:lang w:eastAsia="zh-CN"/>
                    </w:rPr>
                    <w:t>）排放；阳极氧化产生的硫酸雾、氮氧化物经</w:t>
                  </w:r>
                  <w:r>
                    <w:rPr>
                      <w:rFonts w:hint="eastAsia" w:ascii="Times New Roman" w:hAnsi="Times New Roman" w:cs="Times New Roman"/>
                      <w:lang w:val="en-US" w:eastAsia="zh-CN"/>
                    </w:rPr>
                    <w:t>两侧槽边抽风+顶部抽风收集，</w:t>
                  </w:r>
                  <w:r>
                    <w:rPr>
                      <w:rFonts w:hint="eastAsia" w:ascii="Times New Roman" w:hAnsi="Times New Roman" w:cs="Times New Roman"/>
                      <w:lang w:eastAsia="zh-CN"/>
                    </w:rPr>
                    <w:t>通过两套</w:t>
                  </w:r>
                  <w:r>
                    <w:rPr>
                      <w:rFonts w:hint="eastAsia" w:ascii="Times New Roman" w:hAnsi="Times New Roman" w:cs="Times New Roman"/>
                      <w:lang w:val="en-US" w:eastAsia="zh-CN"/>
                    </w:rPr>
                    <w:t>碱液喷淋塔处理后，通过2根20</w:t>
                  </w:r>
                  <w:r>
                    <w:rPr>
                      <w:rFonts w:hint="default" w:ascii="Times New Roman" w:hAnsi="Times New Roman" w:cs="Times New Roman"/>
                    </w:rPr>
                    <w:t>m高排气筒（DA00</w:t>
                  </w:r>
                  <w:r>
                    <w:rPr>
                      <w:rFonts w:hint="eastAsia" w:ascii="Times New Roman" w:hAnsi="Times New Roman" w:cs="Times New Roman"/>
                      <w:lang w:val="en-US" w:eastAsia="zh-CN"/>
                    </w:rPr>
                    <w:t>2、DA003</w:t>
                  </w:r>
                  <w:r>
                    <w:rPr>
                      <w:rFonts w:hint="default" w:ascii="Times New Roman" w:hAnsi="Times New Roman" w:cs="Times New Roman"/>
                    </w:rPr>
                    <w:t>）排放</w:t>
                  </w:r>
                  <w:r>
                    <w:rPr>
                      <w:rFonts w:hint="eastAsia" w:ascii="Times New Roman" w:hAnsi="Times New Roman" w:cs="Times New Roman"/>
                      <w:lang w:eastAsia="zh-CN"/>
                    </w:rPr>
                    <w:t>；丙酮擦拭废气采用无尘室+集气罩收集后，经两级活性炭处理后，通过1根20m高排气筒（</w:t>
                  </w:r>
                  <w:r>
                    <w:rPr>
                      <w:rFonts w:hint="eastAsia" w:ascii="Times New Roman" w:hAnsi="Times New Roman" w:cs="Times New Roman"/>
                      <w:lang w:val="en-US" w:eastAsia="zh-CN"/>
                    </w:rPr>
                    <w:t>DA004</w:t>
                  </w:r>
                  <w:r>
                    <w:rPr>
                      <w:rFonts w:hint="eastAsia" w:ascii="Times New Roman" w:hAnsi="Times New Roman" w:cs="Times New Roman"/>
                      <w:lang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本项目</w:t>
                  </w:r>
                  <w:r>
                    <w:rPr>
                      <w:rFonts w:hint="eastAsia" w:ascii="Times New Roman" w:hAnsi="Times New Roman" w:eastAsia="宋体" w:cs="Times New Roman"/>
                      <w:sz w:val="21"/>
                      <w:szCs w:val="21"/>
                      <w:vertAlign w:val="baseline"/>
                      <w:lang w:eastAsia="zh-CN"/>
                    </w:rPr>
                    <w:t>部分工序</w:t>
                  </w:r>
                  <w:r>
                    <w:rPr>
                      <w:rFonts w:hint="default" w:ascii="Times New Roman" w:hAnsi="Times New Roman" w:cs="Times New Roman"/>
                      <w:szCs w:val="21"/>
                      <w:lang w:eastAsia="zh-CN"/>
                    </w:rPr>
                    <w:t>未建设，</w:t>
                  </w:r>
                  <w:r>
                    <w:rPr>
                      <w:rFonts w:hint="eastAsia" w:ascii="Times New Roman" w:hAnsi="Times New Roman" w:cs="Times New Roman"/>
                      <w:szCs w:val="21"/>
                      <w:lang w:eastAsia="zh-CN"/>
                    </w:rPr>
                    <w:t>不在此次验收范围内，</w:t>
                  </w: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熔化炉天然气燃烧废气：通过1根20m高排气筒排放（1#）。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压铸和脱模废气：布袋除尘器+二级活性炭吸附装置处理后，通过1根20m高排气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筒排放（2#）。</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抛丸废气：封闭设备+布袋除尘器处理后，通过1根20m高排气筒排放（3#）。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喷砂废气：封闭区域+布袋除尘器处理后，通过1根20m高排气筒排放（4#）。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激光切割：布袋除尘器处理后，通过1根20m高排气筒排放（5#）。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焊接：设置封闭的焊接区域，通过焊接烟尘净化器处理后，无组织排放。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丙酮洗、丙酮擦拭废气：丙酮洗采用密闭+槽边抽风+顶部抽风收集，擦拭采用无尘包装室+集气罩收集后，经两级活性炭处理后，通过1根20m高排气筒排放（6#）。</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熔射废气：密闭设备+布袋除尘器处理后，通过20m高排气筒排放（7#）。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喷塑粉尘：密闭静电喷涂房+负压抽吸+滤筒回收+脉冲除尘器处理后通过20m高</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排气筒排放（8#）。</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喷塑后固化废气：局部密闭+负压抽风+两级活性炭一体机设备处理，经3#排气筒</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排放（9#）。</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喷漆过程（调漆、喷漆、流平、喷枪清洗）的漆雾及有机废气经过局部密闭+负压抽风+干式过滤器+两级活性炭处理后再经过1根20m高排气筒排放（10#）。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漆膜烘干：密闭烘干室+两级活性炭处理后，经过20m高排气筒排放（11#）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lang w:eastAsia="zh-CN"/>
                    </w:rPr>
                    <w:t>酸洗、硝酸出光、阳极氧化：阳极氧化区域封闭，废气经过再建封闭槽+两侧槽边抽风+顶部抽风收集+碱液喷淋塔处理后通过1根20m高排气筒排放（12#）。</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lang w:eastAsia="zh-CN"/>
                    </w:rPr>
                    <w:t>喷砂废气经</w:t>
                  </w:r>
                  <w:r>
                    <w:rPr>
                      <w:rFonts w:hint="eastAsia" w:ascii="Times New Roman" w:hAnsi="Times New Roman" w:cs="Times New Roman"/>
                      <w:lang w:eastAsia="zh-CN"/>
                    </w:rPr>
                    <w:t>二级</w:t>
                  </w:r>
                  <w:r>
                    <w:rPr>
                      <w:rFonts w:hint="default" w:ascii="Times New Roman" w:hAnsi="Times New Roman" w:cs="Times New Roman"/>
                      <w:lang w:eastAsia="zh-CN"/>
                    </w:rPr>
                    <w:t>布袋除尘器处理后，通过1根20m高排气筒（DA001）排放；阳极氧化产生的硫酸雾、氮氧化物经两侧槽边抽风+顶部抽风收集，通过两套碱液喷淋塔处理后，通过2根20m高排气筒（DA002、DA003）排放；丙酮擦拭废气采用无尘室+集气罩收集后，经两级活性炭处理后，通过1根20m高排气筒（DA004）排放。</w:t>
                  </w:r>
                  <w:r>
                    <w:rPr>
                      <w:rFonts w:hint="eastAsia" w:ascii="Times New Roman" w:hAnsi="Times New Roman" w:cs="Times New Roman"/>
                      <w:szCs w:val="21"/>
                      <w:lang w:eastAsia="zh-CN"/>
                    </w:rPr>
                    <w:t>本项目</w:t>
                  </w:r>
                  <w:r>
                    <w:rPr>
                      <w:rFonts w:hint="default" w:ascii="Times New Roman" w:hAnsi="Times New Roman" w:eastAsia="宋体" w:cs="Times New Roman"/>
                      <w:color w:val="auto"/>
                      <w:szCs w:val="21"/>
                      <w:lang w:eastAsia="zh-CN"/>
                    </w:rPr>
                    <w:t>生活污水经化粪池处理、生产废水经厂区自建的污水处理站处理，经污水管网排入</w:t>
                  </w:r>
                  <w:r>
                    <w:rPr>
                      <w:rFonts w:hint="eastAsia" w:ascii="Times New Roman" w:hAnsi="Times New Roman" w:cs="Times New Roman"/>
                      <w:color w:val="auto"/>
                      <w:szCs w:val="21"/>
                      <w:lang w:eastAsia="zh-CN"/>
                    </w:rPr>
                    <w:t>港口</w:t>
                  </w:r>
                  <w:r>
                    <w:rPr>
                      <w:rFonts w:hint="default" w:ascii="Times New Roman" w:hAnsi="Times New Roman" w:eastAsia="宋体" w:cs="Times New Roman"/>
                      <w:color w:val="auto"/>
                      <w:szCs w:val="21"/>
                      <w:lang w:eastAsia="zh-CN"/>
                    </w:rPr>
                    <w:t>污水处理厂，处理达标后排入</w:t>
                  </w:r>
                  <w:r>
                    <w:rPr>
                      <w:rFonts w:hint="eastAsia" w:ascii="Times New Roman" w:hAnsi="Times New Roman" w:cs="Times New Roman"/>
                      <w:color w:val="auto"/>
                      <w:szCs w:val="21"/>
                      <w:lang w:eastAsia="zh-CN"/>
                    </w:rPr>
                    <w:t>水阳江</w:t>
                  </w:r>
                  <w:r>
                    <w:rPr>
                      <w:rFonts w:hint="default" w:ascii="Times New Roman" w:hAnsi="Times New Roman" w:eastAsia="宋体" w:cs="Times New Roman"/>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部分工序</w:t>
                  </w:r>
                  <w:r>
                    <w:rPr>
                      <w:rFonts w:hint="default" w:ascii="Times New Roman" w:hAnsi="Times New Roman" w:cs="Times New Roman"/>
                      <w:szCs w:val="21"/>
                      <w:lang w:eastAsia="zh-CN"/>
                    </w:rPr>
                    <w:t>未建设，</w:t>
                  </w:r>
                  <w:r>
                    <w:rPr>
                      <w:rFonts w:hint="eastAsia" w:ascii="Times New Roman" w:hAnsi="Times New Roman" w:cs="Times New Roman"/>
                      <w:szCs w:val="21"/>
                      <w:lang w:eastAsia="zh-CN"/>
                    </w:rPr>
                    <w:t>不在此次验收范围内，</w:t>
                  </w: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Cs w:val="21"/>
                      <w:lang w:eastAsia="zh-CN"/>
                    </w:rPr>
                    <w:t>厂区采取雨污分流，建设1座污水处理中心处理生产废水，位于厂区东北侧，分别对含油废水采取隔油+气浮预处理，其他废水采取化学混凝沉淀预处理，预处理后废水混合后经进一步“AO生化+反硝化滤池+终沉池”进行脱氮处理。处理后的废水进入港口污水处理厂进一步进行处理。废水处理规模为150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/d。生产废水处理达标后与生活废水等统一经厂区总排口进入港口污水处理厂处理达到《城镇污水处理厂污染物排放标准》（GB18918-2002）一级B标准后排入水阳</w:t>
                  </w:r>
                  <w:r>
                    <w:rPr>
                      <w:rFonts w:hint="eastAsia" w:ascii="Times New Roman" w:hAnsi="Times New Roman" w:cs="Times New Roman"/>
                      <w:szCs w:val="21"/>
                      <w:lang w:eastAsia="zh-CN"/>
                    </w:rPr>
                    <w:t>江</w:t>
                  </w:r>
                  <w:r>
                    <w:rPr>
                      <w:rFonts w:hint="default" w:ascii="Times New Roman" w:hAnsi="Times New Roman" w:cs="Times New Roman"/>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Cs w:val="21"/>
                      <w:lang w:eastAsia="zh-CN"/>
                    </w:rPr>
                    <w:t>本项目</w:t>
                  </w:r>
                  <w:r>
                    <w:rPr>
                      <w:rFonts w:hint="default" w:ascii="Times New Roman" w:hAnsi="Times New Roman" w:eastAsia="宋体" w:cs="Times New Roman"/>
                      <w:color w:val="auto"/>
                      <w:szCs w:val="21"/>
                      <w:lang w:eastAsia="zh-CN"/>
                    </w:rPr>
                    <w:t>生活污水经化粪池处理、生产废水经厂区自建的污水处理站处理，经污水管网排入</w:t>
                  </w:r>
                  <w:r>
                    <w:rPr>
                      <w:rFonts w:hint="eastAsia" w:ascii="Times New Roman" w:hAnsi="Times New Roman" w:cs="Times New Roman"/>
                      <w:color w:val="auto"/>
                      <w:szCs w:val="21"/>
                      <w:lang w:eastAsia="zh-CN"/>
                    </w:rPr>
                    <w:t>港口</w:t>
                  </w:r>
                  <w:r>
                    <w:rPr>
                      <w:rFonts w:hint="default" w:ascii="Times New Roman" w:hAnsi="Times New Roman" w:eastAsia="宋体" w:cs="Times New Roman"/>
                      <w:color w:val="auto"/>
                      <w:szCs w:val="21"/>
                      <w:lang w:eastAsia="zh-CN"/>
                    </w:rPr>
                    <w:t>污水处理厂，处理达标后排入</w:t>
                  </w:r>
                  <w:r>
                    <w:rPr>
                      <w:rFonts w:hint="eastAsia" w:ascii="Times New Roman" w:hAnsi="Times New Roman" w:cs="Times New Roman"/>
                      <w:color w:val="auto"/>
                      <w:szCs w:val="21"/>
                      <w:lang w:eastAsia="zh-CN"/>
                    </w:rPr>
                    <w:t>水阳江</w:t>
                  </w:r>
                  <w:r>
                    <w:rPr>
                      <w:rFonts w:hint="default" w:ascii="Times New Roman" w:hAnsi="Times New Roman" w:eastAsia="宋体" w:cs="Times New Roman"/>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熔化炉天然气燃烧废气：通过1根20m高排气筒排放（1#）。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压铸和脱模废气：布袋除尘器+二级活性炭吸附装置处理后，通过1根20m高排气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筒排放（2#）。</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抛丸废气：封闭设备+布袋除尘器处理后，通过1根20m高排气筒排放（3#）。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喷砂废气：封闭区域+布袋除尘器处理后，通过1根20m高排气筒排放（4#）。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激光切割：布袋除尘器处理后，通过1根20m高排气筒排放（5#）。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焊接：设置封闭的焊接区域，通过焊接烟尘净化器处理后，无组织排放。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丙酮洗、丙酮擦拭废气：丙酮洗采用密闭+槽边抽风+顶部抽风收集，擦拭采用无尘包装室+集气罩收集后，经两级活性炭处理后，通过1根20m高排气筒排放（6#）。</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熔射废气：密闭设备+布袋除尘器处理后，通过20m高排气筒排放（7#）。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喷塑粉尘：密闭静电喷涂房+负压抽吸+滤筒回收+脉冲除尘器处理后通过20m高</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排气筒排放（8#）。</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喷塑后固化废气：局部密闭+负压抽风+两级活性炭一体机设备处理，经3#排气筒</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排放（9#）。</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喷漆过程（调漆、喷漆、流平、喷枪清洗）的漆雾及有机废气经过局部密闭+负压抽风+干式过滤器+两级活性炭处理后再经过1根20m高排气筒排放（10#）。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漆膜烘干：密闭烘干室+两级活性炭处理后，经过20m高排气筒排放（11#）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lang w:eastAsia="zh-CN"/>
                    </w:rPr>
                    <w:t>酸洗、硝酸出光、阳极氧化：阳极氧化区域封闭，废气经过再建封闭槽+两侧槽边抽风+顶部抽风收集+碱液喷淋塔处理后通过1根20m高排气筒排放（12#）。</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cs="Times New Roman"/>
                      <w:lang w:eastAsia="zh-CN"/>
                    </w:rPr>
                    <w:t>喷砂废气经</w:t>
                  </w:r>
                  <w:r>
                    <w:rPr>
                      <w:rFonts w:hint="eastAsia" w:ascii="Times New Roman" w:hAnsi="Times New Roman" w:cs="Times New Roman"/>
                      <w:lang w:eastAsia="zh-CN"/>
                    </w:rPr>
                    <w:t>二级</w:t>
                  </w:r>
                  <w:r>
                    <w:rPr>
                      <w:rFonts w:hint="default" w:ascii="Times New Roman" w:hAnsi="Times New Roman" w:cs="Times New Roman"/>
                      <w:lang w:eastAsia="zh-CN"/>
                    </w:rPr>
                    <w:t>布袋除尘器处理后，通过1根20m高排气筒（DA001）排放；阳极氧化废气产生的硫酸雾、氮氧化物经两侧槽边抽风+顶部抽风收集，通过两套碱液喷淋塔处理后，通过2根20m高排气筒（DA002、DA003）排放；丙酮擦拭废气采用无尘室+集气罩收集后，经两级活性炭处理后，通过1根20m高排气筒（DA004）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部分工序</w:t>
                  </w:r>
                  <w:r>
                    <w:rPr>
                      <w:rFonts w:hint="default" w:ascii="Times New Roman" w:hAnsi="Times New Roman" w:cs="Times New Roman"/>
                      <w:szCs w:val="21"/>
                      <w:lang w:eastAsia="zh-CN"/>
                    </w:rPr>
                    <w:t>未建设，</w:t>
                  </w:r>
                  <w:r>
                    <w:rPr>
                      <w:rFonts w:hint="eastAsia" w:ascii="Times New Roman" w:hAnsi="Times New Roman" w:cs="Times New Roman"/>
                      <w:szCs w:val="21"/>
                      <w:lang w:eastAsia="zh-CN"/>
                    </w:rPr>
                    <w:t>不在此次验收范围内，</w:t>
                  </w: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2137"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Cs w:val="21"/>
                    </w:rPr>
                    <w:t>分区防渗，其中原材料仓库、2#车间阳极氧化生产线、1#车间喷粉生产线、喷漆生产线、污水处理站、事故水池、污水输送管道区域、危废暂存库等区域为重点防渗区，地坪采用抗渗混凝土为基础，表层采用环氧树脂防腐处理，此外配套污水管道、管沟也采取防腐防渗漏措施。</w:t>
                  </w:r>
                </w:p>
              </w:tc>
              <w:tc>
                <w:tcPr>
                  <w:tcW w:w="2074"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kern w:val="0"/>
                      <w:szCs w:val="21"/>
                    </w:rPr>
                    <w:t>分区防渗，其中2#车间阳极氧化生产线、污水处理站、事故水池、污水输送管道区域、危废暂存库等区域为重点防渗区，地坪采用抗渗混凝土为基础，表层采用环氧树脂防腐处理，此外配套污水管道、管沟也采取防腐防渗漏措施。</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建设</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一般固体废物暂存库（占地100m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），定期外售处理。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一般固废有去毛刺边角料、机加工产生的边角料、切割过程产生的边角料、焊渣、</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废布轮、废包装袋、布袋收集的粉尘、废离子</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交换树脂</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建设</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一间危险废物暂存库（占地300m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），定期委托有资质的单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位处理。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危险废物有废过滤芯、阳极槽废液、槽渣、</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漆渣、</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废干式过滤材料</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、喷枪废渣、</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废活性炭、废桶、废酸碱包装桶、污泥、废切削液，收集后交有资质单位处置。生活垃圾收集后由环卫部门清运。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项目产生的固废主要包括一般固废、危险废物及生活垃圾。一般固废有废包装袋、布袋收集的粉尘、废离子交换树脂，建设一般工业固废暂存区域，位于污水处理站东侧，面积50m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，暂存后由物资公司回收。项目建设一间危废库，位于污水处理站</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旁</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，面积100m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危险废物有污水处理站污泥、废过滤芯、阳极槽废液、槽渣、废活性炭、废酸碱包装桶，暂存于危废库中，公司已与宁国海螺环保科技有限责任公司签订危废处置协议，收集后交其处置。生活垃圾收集后由环卫部门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sz w:val="21"/>
                      <w:szCs w:val="21"/>
                      <w:vertAlign w:val="baseline"/>
                      <w:lang w:eastAsia="zh-CN"/>
                    </w:rPr>
                    <w:t>危废库目前建设面积为100m</w:t>
                  </w:r>
                  <w:r>
                    <w:rPr>
                      <w:rFonts w:hint="default" w:ascii="Times New Roman" w:hAnsi="Times New Roman" w:eastAsia="宋体" w:cs="Times New Roman"/>
                      <w:sz w:val="21"/>
                      <w:szCs w:val="21"/>
                      <w:vertAlign w:val="superscript"/>
                      <w:lang w:eastAsia="zh-CN"/>
                    </w:rPr>
                    <w:t>2</w:t>
                  </w:r>
                  <w:r>
                    <w:rPr>
                      <w:rFonts w:hint="default" w:ascii="Times New Roman" w:hAnsi="Times New Roman" w:eastAsia="宋体" w:cs="Times New Roman"/>
                      <w:sz w:val="21"/>
                      <w:szCs w:val="21"/>
                      <w:vertAlign w:val="baseline"/>
                      <w:lang w:eastAsia="zh-CN"/>
                    </w:rPr>
                    <w:t>，环评中要求建设300m</w:t>
                  </w:r>
                  <w:r>
                    <w:rPr>
                      <w:rFonts w:hint="default" w:ascii="Times New Roman" w:hAnsi="Times New Roman" w:eastAsia="宋体" w:cs="Times New Roman"/>
                      <w:sz w:val="21"/>
                      <w:szCs w:val="21"/>
                      <w:vertAlign w:val="superscript"/>
                      <w:lang w:eastAsia="zh-CN"/>
                    </w:rPr>
                    <w:t>2</w:t>
                  </w:r>
                  <w:r>
                    <w:rPr>
                      <w:rFonts w:hint="eastAsia" w:ascii="Times New Roman" w:hAnsi="Times New Roman" w:eastAsia="宋体" w:cs="Times New Roman"/>
                      <w:sz w:val="21"/>
                      <w:szCs w:val="21"/>
                      <w:vertAlign w:val="baseline"/>
                      <w:lang w:eastAsia="zh-CN"/>
                    </w:rPr>
                    <w:t>，目前危废产生量约为环评中计算的30%，危废库面积可以满足现阶段危废产生量的储存，待后续生产工艺全部建设完成后再进行危废库扩容，不属于重大变动。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2137"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kern w:val="0"/>
                      <w:szCs w:val="21"/>
                    </w:rPr>
                    <w:t>在2#车间东侧设置应急事故池，水池容积400m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2074"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bCs/>
                      <w:color w:val="auto"/>
                      <w:sz w:val="21"/>
                      <w:szCs w:val="21"/>
                      <w:lang w:eastAsia="zh-CN"/>
                    </w:rPr>
                    <w:t>已建设一座</w:t>
                  </w:r>
                  <w:r>
                    <w:rPr>
                      <w:rFonts w:hint="default" w:ascii="Times New Roman" w:hAnsi="Times New Roman" w:eastAsia="宋体" w:cs="Times New Roman"/>
                      <w:bCs/>
                      <w:color w:val="auto"/>
                      <w:sz w:val="21"/>
                      <w:szCs w:val="21"/>
                      <w:lang w:eastAsia="zh-CN"/>
                    </w:rPr>
                    <w:t>400m</w:t>
                  </w:r>
                  <w:r>
                    <w:rPr>
                      <w:rFonts w:hint="default" w:ascii="Times New Roman" w:hAnsi="Times New Roman" w:eastAsia="宋体" w:cs="Times New Roman"/>
                      <w:bCs/>
                      <w:color w:val="auto"/>
                      <w:sz w:val="21"/>
                      <w:szCs w:val="21"/>
                      <w:vertAlign w:val="superscript"/>
                      <w:lang w:eastAsia="zh-CN"/>
                    </w:rPr>
                    <w:t>3</w:t>
                  </w:r>
                  <w:r>
                    <w:rPr>
                      <w:rFonts w:hint="default" w:ascii="Times New Roman" w:hAnsi="Times New Roman" w:eastAsia="宋体" w:cs="Times New Roman"/>
                      <w:bCs/>
                      <w:color w:val="auto"/>
                      <w:sz w:val="21"/>
                      <w:szCs w:val="21"/>
                      <w:lang w:eastAsia="zh-CN"/>
                    </w:rPr>
                    <w:t>应急事故池</w:t>
                  </w:r>
                  <w:r>
                    <w:rPr>
                      <w:rFonts w:hint="eastAsia" w:ascii="Times New Roman" w:hAnsi="Times New Roman" w:cs="Times New Roman"/>
                      <w:bCs/>
                      <w:color w:val="auto"/>
                      <w:sz w:val="21"/>
                      <w:szCs w:val="21"/>
                      <w:lang w:eastAsia="zh-CN"/>
                    </w:rPr>
                    <w:t>，位于污水处理站旁</w:t>
                  </w:r>
                  <w:r>
                    <w:rPr>
                      <w:rFonts w:hint="default" w:ascii="Times New Roman" w:hAnsi="Times New Roman" w:eastAsia="宋体" w:cs="Times New Roman"/>
                      <w:bCs/>
                      <w:color w:val="auto"/>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对照《污染影响类建设项目重大变动清单(试行)》(环办环评函[2020]688 号文)，本项目无重大变动。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7"/>
              <w:gridCol w:w="1657"/>
              <w:gridCol w:w="1658"/>
              <w:gridCol w:w="1658"/>
              <w:gridCol w:w="16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12" w:space="0"/>
                    <w:left w:val="single" w:color="auto" w:sz="0"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环评数量</w:t>
                  </w:r>
                </w:p>
              </w:tc>
              <w:tc>
                <w:tcPr>
                  <w:tcW w:w="1001"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铝合金锭</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pacing w:val="-2"/>
                      <w:sz w:val="21"/>
                      <w:szCs w:val="21"/>
                      <w:lang w:val="en-US" w:eastAsia="zh-CN"/>
                    </w:rPr>
                    <w:t>15000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pacing w:val="-2"/>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锌合金锭</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pacing w:val="-2"/>
                      <w:sz w:val="21"/>
                      <w:szCs w:val="21"/>
                      <w:lang w:val="en-US" w:eastAsia="zh-CN"/>
                    </w:rPr>
                    <w:t>5000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pacing w:val="-2"/>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不锈钢板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银板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20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铜板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100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钢板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1000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PB板</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100</w:t>
                  </w:r>
                  <w:r>
                    <w:rPr>
                      <w:rFonts w:hint="eastAsia" w:ascii="Times New Roman" w:hAnsi="Times New Roman" w:cs="Times New Roman"/>
                      <w:color w:val="auto"/>
                      <w:sz w:val="21"/>
                      <w:szCs w:val="21"/>
                      <w:lang w:val="en-US" w:eastAsia="zh-CN"/>
                    </w:rPr>
                    <w:t>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玻璃珠</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白钢玉</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不锈钢钢丸</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布轮</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个</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切削液</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焊条</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氩气</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L</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二氧化碳</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L</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塑粉</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油漆</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稀释剂</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铝丝</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铜丝</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银丝</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抛光片</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打磨片</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丙酮</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清洗剂</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氨水</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双氧水</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硝酸</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片碱</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硫酸</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草酸</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脱脂剂</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无镍封孔剂</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着色剂</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3M 保护膜</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49956</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电</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color w:val="auto"/>
                      <w:kern w:val="0"/>
                      <w:sz w:val="21"/>
                      <w:szCs w:val="21"/>
                      <w:lang w:val="en-US" w:eastAsia="zh-CN"/>
                    </w:rPr>
                    <w:t>kwh</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蒸汽</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天然气</w:t>
                  </w:r>
                </w:p>
              </w:tc>
              <w:tc>
                <w:tcPr>
                  <w:tcW w:w="1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2022"/>
              <w:gridCol w:w="2012"/>
              <w:gridCol w:w="1813"/>
              <w:gridCol w:w="1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熔化炉</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t</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压铸机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250t</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熔化炉</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t</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压铸机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400</w:t>
                  </w:r>
                  <w:r>
                    <w:rPr>
                      <w:rFonts w:hint="default" w:ascii="Times New Roman" w:hAnsi="Times New Roman" w:eastAsia="宋体" w:cs="Times New Roman"/>
                      <w:sz w:val="21"/>
                      <w:szCs w:val="21"/>
                      <w:lang w:val="en-US" w:eastAsia="zh-CN"/>
                    </w:rPr>
                    <w:t>t</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熔化炉</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t</w:t>
                  </w:r>
                </w:p>
              </w:tc>
              <w:tc>
                <w:tcPr>
                  <w:tcW w:w="1813" w:type="dxa"/>
                  <w:tcBorders>
                    <w:tl2br w:val="nil"/>
                    <w:tr2bl w:val="nil"/>
                  </w:tcBorders>
                  <w:noWrap w:val="0"/>
                  <w:vAlign w:val="center"/>
                </w:tcPr>
                <w:p>
                  <w:pPr>
                    <w:spacing w:line="32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5</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压铸机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sz w:val="21"/>
                      <w:szCs w:val="21"/>
                      <w:lang w:val="en-US" w:eastAsia="zh-CN"/>
                    </w:rPr>
                    <w:t>800</w:t>
                  </w:r>
                  <w:r>
                    <w:rPr>
                      <w:rFonts w:hint="default" w:ascii="Times New Roman" w:hAnsi="Times New Roman" w:eastAsia="宋体" w:cs="Times New Roman"/>
                      <w:sz w:val="21"/>
                      <w:szCs w:val="21"/>
                      <w:lang w:val="en-US" w:eastAsia="zh-CN"/>
                    </w:rPr>
                    <w:t>t</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5</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熔化炉</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t</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5</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压铸机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sz w:val="21"/>
                      <w:szCs w:val="21"/>
                      <w:lang w:val="en-US" w:eastAsia="zh-CN"/>
                    </w:rPr>
                    <w:t>1600</w:t>
                  </w:r>
                  <w:r>
                    <w:rPr>
                      <w:rFonts w:hint="default" w:ascii="Times New Roman" w:hAnsi="Times New Roman" w:eastAsia="宋体" w:cs="Times New Roman"/>
                      <w:sz w:val="21"/>
                      <w:szCs w:val="21"/>
                      <w:lang w:val="en-US" w:eastAsia="zh-CN"/>
                    </w:rPr>
                    <w:t>t</w:t>
                  </w:r>
                </w:p>
              </w:tc>
              <w:tc>
                <w:tcPr>
                  <w:tcW w:w="1813" w:type="dxa"/>
                  <w:tcBorders>
                    <w:tl2br w:val="nil"/>
                    <w:tr2bl w:val="nil"/>
                  </w:tcBorders>
                  <w:noWrap w:val="0"/>
                  <w:vAlign w:val="center"/>
                </w:tcPr>
                <w:p>
                  <w:pPr>
                    <w:spacing w:line="32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5</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激光切割机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VDIAO1290</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氩弧焊接</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WS-2501</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打磨机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SIM-FF03-100A</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0</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车床</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C6136A</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台钻</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Z4025</w:t>
                  </w:r>
                </w:p>
              </w:tc>
              <w:tc>
                <w:tcPr>
                  <w:tcW w:w="1813"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val="en-US" w:eastAsia="zh-CN"/>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立式多功能铣床</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lang w:val="en-US" w:eastAsia="zh-CN"/>
                    </w:rPr>
                    <w:t>DMG MOR</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摇臂钻床</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Z3040</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数控加工中心</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lang w:val="en-US" w:eastAsia="zh-CN"/>
                    </w:rPr>
                    <w:t>XH713A</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sz w:val="21"/>
                      <w:szCs w:val="21"/>
                      <w:lang w:val="en-US" w:eastAsia="zh-CN"/>
                    </w:rPr>
                    <w:t>50</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抛丸机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lang w:val="en-US" w:eastAsia="zh-CN"/>
                    </w:rPr>
                    <w:t>Q376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5</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喷砂房</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sz w:val="21"/>
                      <w:szCs w:val="21"/>
                      <w:lang w:val="en-US" w:eastAsia="zh-CN"/>
                    </w:rPr>
                    <w:t>50m</w:t>
                  </w:r>
                  <w:r>
                    <w:rPr>
                      <w:rFonts w:hint="eastAsia" w:ascii="Times New Roman" w:hAnsi="Times New Roman" w:eastAsia="宋体" w:cs="Times New Roman"/>
                      <w:sz w:val="21"/>
                      <w:szCs w:val="21"/>
                      <w:vertAlign w:val="superscript"/>
                      <w:lang w:val="en-US" w:eastAsia="zh-CN"/>
                    </w:rPr>
                    <w:t>3</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平面喷砂机（机器人）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QH698Y</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5</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立式喷砂机（机器人）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ER100-3000</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喷砂机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BI-1212A</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sz w:val="21"/>
                      <w:szCs w:val="21"/>
                      <w:lang w:val="en-US" w:eastAsia="zh-CN"/>
                    </w:rPr>
                    <w:t>50</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火焰熔射机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sz w:val="21"/>
                      <w:szCs w:val="21"/>
                      <w:lang w:val="en-US" w:eastAsia="zh-CN"/>
                    </w:rPr>
                    <w:t>/</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喷漆房</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lang w:val="en-US" w:eastAsia="zh-CN"/>
                    </w:rPr>
                    <w:t>500</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2</w:t>
                  </w:r>
                </w:p>
              </w:tc>
              <w:tc>
                <w:tcPr>
                  <w:tcW w:w="1813" w:type="dxa"/>
                  <w:vMerge w:val="restart"/>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1</w:t>
                  </w:r>
                </w:p>
              </w:tc>
              <w:tc>
                <w:tcPr>
                  <w:tcW w:w="1776"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全自动喷漆流水线</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定制</w:t>
                  </w:r>
                </w:p>
              </w:tc>
              <w:tc>
                <w:tcPr>
                  <w:tcW w:w="1813" w:type="dxa"/>
                  <w:vMerge w:val="continue"/>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p>
              </w:tc>
              <w:tc>
                <w:tcPr>
                  <w:tcW w:w="1776"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喷涂房</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2</w:t>
                  </w:r>
                </w:p>
              </w:tc>
              <w:tc>
                <w:tcPr>
                  <w:tcW w:w="1813" w:type="dxa"/>
                  <w:vMerge w:val="restart"/>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776"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全自动喷粉流水线</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定制</w:t>
                  </w:r>
                </w:p>
              </w:tc>
              <w:tc>
                <w:tcPr>
                  <w:tcW w:w="1813" w:type="dxa"/>
                  <w:vMerge w:val="continue"/>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p>
              </w:tc>
              <w:tc>
                <w:tcPr>
                  <w:tcW w:w="1776"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抛光房</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2</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空压机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40m</w:t>
                  </w:r>
                  <w:r>
                    <w:rPr>
                      <w:rFonts w:hint="eastAsia" w:ascii="Times New Roman" w:hAnsi="Times New Roman" w:eastAsia="宋体" w:cs="Times New Roman"/>
                      <w:sz w:val="21"/>
                      <w:szCs w:val="21"/>
                      <w:vertAlign w:val="superscript"/>
                      <w:lang w:val="en-US" w:eastAsia="zh-CN"/>
                    </w:rPr>
                    <w:t>3</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储气罐</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3m</w:t>
                  </w:r>
                  <w:r>
                    <w:rPr>
                      <w:rFonts w:hint="eastAsia" w:ascii="Times New Roman" w:hAnsi="Times New Roman" w:eastAsia="宋体" w:cs="Times New Roman"/>
                      <w:sz w:val="21"/>
                      <w:szCs w:val="21"/>
                      <w:vertAlign w:val="superscript"/>
                      <w:lang w:val="en-US" w:eastAsia="zh-CN"/>
                    </w:rPr>
                    <w:t>3</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酸洗槽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氨水/双氧水槽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脱脂槽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碱蚀槽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硝酸出光槽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阳极氧化槽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水洗槽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封孔槽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着色槽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丙酮</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0.5×0.5×0.8</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脱脂</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4×4×2.6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碱蚀</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4×4×2.6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硝酸出光</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4×4×2.6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高压喷淋清洗</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4×4×2.6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阳极氧化</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4×4×2.6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封孔槽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4×4×2.6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水洗槽</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4×4×2.6</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高压清洗机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8LXAXSGN</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超声波清洗机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CFA3AIK40P</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水刀处理设备</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HL-50SBY</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冷冻机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HL-50SBY</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202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纯水机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5m³/d</w:t>
                  </w:r>
                </w:p>
              </w:tc>
              <w:tc>
                <w:tcPr>
                  <w:tcW w:w="181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3"/>
              <w:tblW w:w="830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703"/>
              <w:gridCol w:w="2063"/>
              <w:gridCol w:w="1700"/>
              <w:gridCol w:w="1825"/>
              <w:gridCol w:w="201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2063" w:type="dxa"/>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700" w:type="dxa"/>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规格（</w:t>
                  </w:r>
                  <w:r>
                    <w:rPr>
                      <w:rFonts w:hint="eastAsia" w:ascii="Times New Roman" w:hAnsi="Times New Roman" w:eastAsia="宋体" w:cs="Times New Roman"/>
                      <w:bCs/>
                      <w:color w:val="auto"/>
                      <w:szCs w:val="21"/>
                      <w:lang w:val="en-US" w:eastAsia="zh-CN"/>
                    </w:rPr>
                    <w:t>mm</w:t>
                  </w:r>
                  <w:r>
                    <w:rPr>
                      <w:rFonts w:hint="eastAsia" w:ascii="Times New Roman" w:hAnsi="Times New Roman" w:eastAsia="宋体" w:cs="Times New Roman"/>
                      <w:bCs/>
                      <w:color w:val="auto"/>
                      <w:szCs w:val="21"/>
                      <w:lang w:eastAsia="zh-CN"/>
                    </w:rPr>
                    <w:t>）</w:t>
                  </w:r>
                </w:p>
              </w:tc>
              <w:tc>
                <w:tcPr>
                  <w:tcW w:w="1825" w:type="dxa"/>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环评产量</w:t>
                  </w:r>
                </w:p>
              </w:tc>
              <w:tc>
                <w:tcPr>
                  <w:tcW w:w="2015" w:type="dxa"/>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szCs w:val="21"/>
                    </w:rPr>
                    <w:t>1</w:t>
                  </w:r>
                </w:p>
              </w:tc>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szCs w:val="21"/>
                      <w:lang w:eastAsia="zh-CN"/>
                    </w:rPr>
                    <w:t>半导体小零件</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防着板、靶材、罩件等</w:t>
                  </w:r>
                  <w:r>
                    <w:rPr>
                      <w:rFonts w:hint="eastAsia" w:ascii="Times New Roman" w:hAnsi="Times New Roman" w:cs="Times New Roman"/>
                      <w:szCs w:val="21"/>
                      <w:lang w:eastAsia="zh-CN"/>
                    </w:rPr>
                    <w:t>）</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30×50</w:t>
                  </w:r>
                </w:p>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20×30</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100 万件</w:t>
                  </w:r>
                  <w:r>
                    <w:rPr>
                      <w:rFonts w:hint="default" w:ascii="Times New Roman" w:hAnsi="Times New Roman" w:eastAsia="宋体" w:cs="Times New Roman"/>
                      <w:bCs/>
                      <w:color w:val="auto"/>
                      <w:kern w:val="0"/>
                      <w:sz w:val="21"/>
                      <w:szCs w:val="21"/>
                      <w:lang w:val="en-US" w:eastAsia="zh-CN"/>
                    </w:rPr>
                    <w:t>/年</w:t>
                  </w:r>
                </w:p>
              </w:tc>
              <w:tc>
                <w:tcPr>
                  <w:tcW w:w="2015" w:type="dxa"/>
                  <w:vMerge w:val="restart"/>
                  <w:tcBorders>
                    <w:top w:val="single" w:color="000000" w:sz="4" w:space="0"/>
                    <w:left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4"/>
                      <w:lang w:val="en-US" w:eastAsia="zh-CN" w:bidi="ar-SA"/>
                    </w:rPr>
                  </w:pPr>
                  <w:r>
                    <w:rPr>
                      <w:rFonts w:hint="eastAsia" w:ascii="Times New Roman" w:hAnsi="Times New Roman" w:cs="Times New Roman"/>
                      <w:bCs/>
                      <w:color w:val="auto"/>
                      <w:szCs w:val="21"/>
                      <w:lang w:val="en-US" w:eastAsia="zh-CN"/>
                    </w:rPr>
                    <w:t>50</w:t>
                  </w:r>
                  <w:r>
                    <w:rPr>
                      <w:rFonts w:hint="default" w:ascii="Times New Roman" w:hAnsi="Times New Roman" w:eastAsia="宋体" w:cs="Times New Roman"/>
                      <w:bCs/>
                      <w:color w:val="auto"/>
                      <w:kern w:val="0"/>
                      <w:sz w:val="21"/>
                      <w:szCs w:val="21"/>
                      <w:lang w:val="en-US" w:eastAsia="zh-CN"/>
                    </w:rPr>
                    <w:t>万</w:t>
                  </w:r>
                  <w:r>
                    <w:rPr>
                      <w:rFonts w:hint="eastAsia" w:ascii="Times New Roman" w:hAnsi="Times New Roman" w:eastAsia="宋体" w:cs="Times New Roman"/>
                      <w:bCs/>
                      <w:color w:val="auto"/>
                      <w:kern w:val="0"/>
                      <w:sz w:val="21"/>
                      <w:szCs w:val="21"/>
                      <w:lang w:val="en-US" w:eastAsia="zh-CN"/>
                    </w:rPr>
                    <w:t>件</w:t>
                  </w:r>
                  <w:r>
                    <w:rPr>
                      <w:rFonts w:hint="default" w:ascii="Times New Roman" w:hAnsi="Times New Roman" w:eastAsia="宋体" w:cs="Times New Roman"/>
                      <w:bCs/>
                      <w:color w:val="auto"/>
                      <w:kern w:val="0"/>
                      <w:sz w:val="21"/>
                      <w:szCs w:val="21"/>
                      <w:lang w:val="en-US" w:eastAsia="zh-CN"/>
                    </w:rPr>
                    <w:t>/年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szCs w:val="21"/>
                      <w:lang w:eastAsia="zh-CN"/>
                    </w:rPr>
                    <w:t>半导体大零件</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CVD 板、BP 板</w:t>
                  </w:r>
                  <w:r>
                    <w:rPr>
                      <w:rFonts w:hint="eastAsia" w:ascii="Times New Roman" w:hAnsi="Times New Roman" w:cs="Times New Roman"/>
                      <w:szCs w:val="21"/>
                      <w:lang w:eastAsia="zh-CN"/>
                    </w:rPr>
                    <w:t>）</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3000×2800</w:t>
                  </w:r>
                </w:p>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2800×2200</w:t>
                  </w:r>
                </w:p>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1500×1000</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kern w:val="2"/>
                      <w:sz w:val="21"/>
                      <w:szCs w:val="21"/>
                      <w:lang w:val="en-US" w:eastAsia="zh-CN" w:bidi="ar-SA"/>
                    </w:rPr>
                    <w:t>100 万件</w:t>
                  </w:r>
                  <w:r>
                    <w:rPr>
                      <w:rFonts w:hint="default" w:ascii="Times New Roman" w:hAnsi="Times New Roman" w:eastAsia="宋体" w:cs="Times New Roman"/>
                      <w:bCs/>
                      <w:color w:val="auto"/>
                      <w:kern w:val="0"/>
                      <w:sz w:val="21"/>
                      <w:szCs w:val="21"/>
                      <w:lang w:val="en-US" w:eastAsia="zh-CN"/>
                    </w:rPr>
                    <w:t>/年</w:t>
                  </w:r>
                </w:p>
              </w:tc>
              <w:tc>
                <w:tcPr>
                  <w:tcW w:w="2015" w:type="dxa"/>
                  <w:vMerge w:val="continue"/>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用水</w:t>
            </w:r>
            <w:r>
              <w:rPr>
                <w:rFonts w:hint="default" w:ascii="Times New Roman" w:hAnsi="Times New Roman" w:cs="Times New Roman"/>
                <w:color w:val="auto"/>
                <w:sz w:val="24"/>
              </w:rPr>
              <w:t>为</w:t>
            </w:r>
            <w:r>
              <w:rPr>
                <w:rFonts w:hint="eastAsia" w:ascii="Times New Roman" w:hAnsi="Times New Roman" w:cs="Times New Roman"/>
                <w:color w:val="auto"/>
                <w:sz w:val="24"/>
                <w:szCs w:val="24"/>
                <w:lang w:eastAsia="zh-CN"/>
              </w:rPr>
              <w:t>生产用水及生活用水。生活污水</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化粪池</w:t>
            </w:r>
            <w:r>
              <w:rPr>
                <w:rFonts w:hint="default" w:ascii="Times New Roman" w:hAnsi="Times New Roman" w:eastAsia="宋体" w:cs="Times New Roman"/>
                <w:color w:val="auto"/>
                <w:sz w:val="24"/>
                <w:szCs w:val="24"/>
                <w:lang w:eastAsia="zh-CN"/>
              </w:rPr>
              <w:t>处理</w:t>
            </w:r>
            <w:r>
              <w:rPr>
                <w:rFonts w:hint="eastAsia" w:ascii="Times New Roman" w:hAnsi="Times New Roman" w:eastAsia="宋体" w:cs="Times New Roman"/>
                <w:color w:val="auto"/>
                <w:sz w:val="24"/>
                <w:szCs w:val="24"/>
                <w:lang w:eastAsia="zh-CN"/>
              </w:rPr>
              <w:t>，生产废水经厂区污水处理站处理</w:t>
            </w:r>
            <w:r>
              <w:rPr>
                <w:rFonts w:hint="default" w:ascii="Times New Roman" w:hAnsi="Times New Roman" w:eastAsia="宋体" w:cs="Times New Roman"/>
                <w:color w:val="auto"/>
                <w:sz w:val="24"/>
                <w:szCs w:val="24"/>
                <w:lang w:eastAsia="zh-CN"/>
              </w:rPr>
              <w:t>后，满足</w:t>
            </w:r>
            <w:r>
              <w:rPr>
                <w:rFonts w:hint="default" w:ascii="Times New Roman" w:hAnsi="Times New Roman" w:cs="Times New Roman"/>
                <w:b w:val="0"/>
                <w:bCs w:val="0"/>
                <w:color w:val="auto"/>
                <w:sz w:val="24"/>
                <w:szCs w:val="24"/>
              </w:rPr>
              <w:t>《污水综合排放标准》（GB8978-1996）中的</w:t>
            </w:r>
            <w:r>
              <w:rPr>
                <w:rFonts w:hint="default" w:ascii="Times New Roman" w:hAnsi="Times New Roman" w:cs="Times New Roman"/>
                <w:b w:val="0"/>
                <w:bCs w:val="0"/>
                <w:color w:val="auto"/>
                <w:sz w:val="24"/>
                <w:szCs w:val="24"/>
                <w:lang w:eastAsia="zh-CN"/>
              </w:rPr>
              <w:t>三</w:t>
            </w:r>
            <w:r>
              <w:rPr>
                <w:rFonts w:hint="default" w:ascii="Times New Roman" w:hAnsi="Times New Roman" w:cs="Times New Roman"/>
                <w:b w:val="0"/>
                <w:bCs w:val="0"/>
                <w:color w:val="auto"/>
                <w:sz w:val="24"/>
                <w:szCs w:val="24"/>
              </w:rPr>
              <w:t>级标准</w:t>
            </w:r>
            <w:r>
              <w:rPr>
                <w:rFonts w:hint="default" w:ascii="Times New Roman" w:hAnsi="Times New Roman" w:cs="Times New Roman"/>
                <w:b w:val="0"/>
                <w:bCs w:val="0"/>
                <w:color w:val="auto"/>
                <w:sz w:val="24"/>
                <w:szCs w:val="24"/>
                <w:lang w:eastAsia="zh-CN"/>
              </w:rPr>
              <w:t>和</w:t>
            </w:r>
            <w:r>
              <w:rPr>
                <w:rFonts w:hint="eastAsia" w:ascii="Times New Roman" w:hAnsi="Times New Roman" w:cs="Times New Roman"/>
                <w:b w:val="0"/>
                <w:bCs w:val="0"/>
                <w:color w:val="auto"/>
                <w:sz w:val="24"/>
                <w:szCs w:val="24"/>
                <w:lang w:eastAsia="zh-CN"/>
              </w:rPr>
              <w:t>港口</w:t>
            </w:r>
            <w:r>
              <w:rPr>
                <w:rFonts w:hint="default" w:ascii="Times New Roman" w:hAnsi="Times New Roman" w:cs="Times New Roman"/>
                <w:b w:val="0"/>
                <w:bCs w:val="0"/>
                <w:color w:val="auto"/>
                <w:sz w:val="24"/>
                <w:szCs w:val="24"/>
                <w:lang w:eastAsia="zh-CN"/>
              </w:rPr>
              <w:t>污水处理厂接管标准</w:t>
            </w:r>
            <w:r>
              <w:rPr>
                <w:rFonts w:hint="default" w:ascii="Times New Roman" w:hAnsi="Times New Roman" w:eastAsia="宋体" w:cs="Times New Roman"/>
                <w:color w:val="auto"/>
                <w:sz w:val="24"/>
                <w:szCs w:val="24"/>
                <w:lang w:eastAsia="zh-CN"/>
              </w:rPr>
              <w:t>，通过污水管网</w:t>
            </w:r>
            <w:r>
              <w:rPr>
                <w:rFonts w:hint="default" w:ascii="Times New Roman" w:hAnsi="Times New Roman" w:cs="Times New Roman"/>
                <w:bCs/>
                <w:color w:val="auto"/>
                <w:sz w:val="24"/>
                <w:lang w:eastAsia="zh-CN"/>
              </w:rPr>
              <w:t>排入</w:t>
            </w:r>
            <w:r>
              <w:rPr>
                <w:rFonts w:hint="eastAsia" w:ascii="Times New Roman" w:hAnsi="Times New Roman" w:cs="Times New Roman"/>
                <w:bCs/>
                <w:color w:val="auto"/>
                <w:sz w:val="24"/>
                <w:lang w:eastAsia="zh-CN"/>
              </w:rPr>
              <w:t>港口</w:t>
            </w:r>
            <w:r>
              <w:rPr>
                <w:rFonts w:hint="default" w:ascii="Times New Roman" w:hAnsi="Times New Roman" w:cs="Times New Roman"/>
                <w:bCs/>
                <w:color w:val="auto"/>
                <w:sz w:val="24"/>
                <w:lang w:eastAsia="zh-CN"/>
              </w:rPr>
              <w:t>污水处理厂处理达标后，排入</w:t>
            </w:r>
            <w:r>
              <w:rPr>
                <w:rFonts w:hint="eastAsia" w:ascii="Times New Roman" w:hAnsi="Times New Roman" w:cs="Times New Roman"/>
                <w:bCs/>
                <w:color w:val="auto"/>
                <w:sz w:val="24"/>
                <w:lang w:eastAsia="zh-CN"/>
              </w:rPr>
              <w:t>水阳江</w:t>
            </w:r>
            <w:r>
              <w:rPr>
                <w:rFonts w:hint="default" w:ascii="Times New Roman" w:hAnsi="Times New Roman" w:cs="Times New Roman"/>
                <w:b w:val="0"/>
                <w:bCs w:val="0"/>
                <w:color w:val="auto"/>
                <w:sz w:val="24"/>
                <w:szCs w:val="24"/>
                <w:lang w:eastAsia="zh-CN"/>
              </w:rPr>
              <w:t>。</w:t>
            </w:r>
          </w:p>
          <w:p>
            <w:pPr>
              <w:adjustRightInd w:val="0"/>
              <w:snapToGrid w:val="0"/>
              <w:spacing w:line="360" w:lineRule="auto"/>
              <w:jc w:val="center"/>
              <w:rPr>
                <w:rFonts w:hint="default" w:ascii="Times New Roman" w:hAnsi="Times New Roman" w:eastAsia="宋体" w:cs="Times New Roman"/>
                <w:b/>
                <w:bCs w:val="0"/>
                <w:sz w:val="21"/>
                <w:szCs w:val="21"/>
                <w:lang w:val="en-US" w:eastAsia="zh-CN"/>
              </w:rPr>
            </w:pPr>
            <w:r>
              <w:drawing>
                <wp:inline distT="0" distB="0" distL="114300" distR="114300">
                  <wp:extent cx="5273040" cy="2755265"/>
                  <wp:effectExtent l="0" t="0" r="3810" b="698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
                          <a:stretch>
                            <a:fillRect/>
                          </a:stretch>
                        </pic:blipFill>
                        <pic:spPr>
                          <a:xfrm>
                            <a:off x="0" y="0"/>
                            <a:ext cx="5273040" cy="2755265"/>
                          </a:xfrm>
                          <a:prstGeom prst="rect">
                            <a:avLst/>
                          </a:prstGeom>
                          <a:noFill/>
                          <a:ln>
                            <a:noFill/>
                          </a:ln>
                        </pic:spPr>
                      </pic:pic>
                    </a:graphicData>
                  </a:graphic>
                </wp:inline>
              </w:drawing>
            </w: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4</w:t>
            </w:r>
            <w:r>
              <w:rPr>
                <w:rFonts w:hint="default" w:ascii="Times New Roman" w:hAnsi="Times New Roman" w:cs="Times New Roman"/>
                <w:b/>
                <w:bCs w:val="0"/>
                <w:sz w:val="21"/>
                <w:szCs w:val="21"/>
                <w:lang w:val="en-US" w:eastAsia="zh-CN"/>
              </w:rPr>
              <w:t xml:space="preserve">-1 </w:t>
            </w:r>
            <w:r>
              <w:rPr>
                <w:rFonts w:hint="eastAsia" w:ascii="Times New Roman" w:hAnsi="Times New Roman" w:cs="Times New Roman"/>
                <w:b/>
                <w:bCs w:val="0"/>
                <w:sz w:val="21"/>
                <w:szCs w:val="21"/>
                <w:lang w:val="en-US" w:eastAsia="zh-CN"/>
              </w:rPr>
              <w:t>项目水平衡</w:t>
            </w: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 xml:space="preserve"> 单位：m</w:t>
            </w:r>
            <w:r>
              <w:rPr>
                <w:rFonts w:hint="eastAsia" w:ascii="Times New Roman" w:hAnsi="Times New Roman" w:cs="Times New Roman"/>
                <w:b/>
                <w:bCs w:val="0"/>
                <w:sz w:val="21"/>
                <w:szCs w:val="21"/>
                <w:vertAlign w:val="superscript"/>
                <w:lang w:val="en-US" w:eastAsia="zh-CN"/>
              </w:rPr>
              <w:t>3</w:t>
            </w:r>
            <w:r>
              <w:rPr>
                <w:rFonts w:hint="eastAsia" w:ascii="Times New Roman" w:hAnsi="Times New Roman" w:cs="Times New Roman"/>
                <w:b/>
                <w:bCs w:val="0"/>
                <w:sz w:val="21"/>
                <w:szCs w:val="21"/>
                <w:lang w:val="en-US" w:eastAsia="zh-CN"/>
              </w:rPr>
              <w:t>/d</w:t>
            </w:r>
          </w:p>
          <w:p>
            <w:pPr>
              <w:adjustRightInd w:val="0"/>
              <w:snapToGrid w:val="0"/>
              <w:spacing w:line="360" w:lineRule="auto"/>
              <w:jc w:val="center"/>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color w:val="auto"/>
                <w:sz w:val="24"/>
                <w:szCs w:val="24"/>
                <w:lang w:val="en-US" w:eastAsia="zh-CN"/>
              </w:rPr>
              <w:t>本项目总体</w:t>
            </w:r>
            <w:r>
              <w:rPr>
                <w:rFonts w:hint="default" w:ascii="Times New Roman" w:hAnsi="Times New Roman" w:eastAsia="宋体" w:cs="Times New Roman"/>
                <w:sz w:val="24"/>
                <w:szCs w:val="24"/>
              </w:rPr>
              <w:t>工艺流程如下图所示：</w:t>
            </w:r>
          </w:p>
          <w:p>
            <w:pPr>
              <w:adjustRightInd w:val="0"/>
              <w:snapToGrid w:val="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6690" cy="4083050"/>
                  <wp:effectExtent l="0" t="0" r="0" b="0"/>
                  <wp:docPr id="14" name="图片 14" descr="E:\排污许可\舜派\微信图片_20230625151037.png微信图片_2023062515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排污许可\舜派\微信图片_20230625151037.png微信图片_20230625151037"/>
                          <pic:cNvPicPr>
                            <a:picLocks noChangeAspect="1"/>
                          </pic:cNvPicPr>
                        </pic:nvPicPr>
                        <pic:blipFill>
                          <a:blip r:embed="rId7"/>
                          <a:srcRect t="1893" b="5674"/>
                          <a:stretch>
                            <a:fillRect/>
                          </a:stretch>
                        </pic:blipFill>
                        <pic:spPr>
                          <a:xfrm>
                            <a:off x="0" y="0"/>
                            <a:ext cx="5266690" cy="4083050"/>
                          </a:xfrm>
                          <a:prstGeom prst="rect">
                            <a:avLst/>
                          </a:prstGeom>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 xml:space="preserve">-1 </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工艺流程简述：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压铸</w:t>
            </w:r>
            <w:r>
              <w:rPr>
                <w:rFonts w:hint="eastAsia" w:ascii="Times New Roman" w:hAnsi="Times New Roman" w:cs="Times New Roman"/>
                <w:color w:val="auto"/>
                <w:sz w:val="24"/>
                <w:szCs w:val="24"/>
                <w:lang w:eastAsia="zh-CN"/>
              </w:rPr>
              <w:t>及</w:t>
            </w:r>
            <w:r>
              <w:rPr>
                <w:rFonts w:hint="default" w:ascii="Times New Roman" w:hAnsi="Times New Roman" w:cs="Times New Roman"/>
                <w:color w:val="auto"/>
                <w:sz w:val="24"/>
                <w:szCs w:val="24"/>
                <w:lang w:eastAsia="zh-CN"/>
              </w:rPr>
              <w:t>机加工</w:t>
            </w:r>
            <w:r>
              <w:rPr>
                <w:rFonts w:hint="eastAsia" w:ascii="Times New Roman" w:hAnsi="Times New Roman" w:cs="Times New Roman"/>
                <w:color w:val="auto"/>
                <w:sz w:val="24"/>
                <w:szCs w:val="24"/>
                <w:lang w:eastAsia="zh-CN"/>
              </w:rPr>
              <w:t>工艺暂未建设。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喷砂：利用喷砂机进行喷砂处理，喷砂采用压缩空气为动力，以形成高速喷射束将玻璃珠、白刚玉喷射到型材表面，使型材表面获得一定的清洁度和不同的粗糙度，使型材表面的机械性能得到改善，提高型材的抗疲劳性，增加了型材和涂层之间的附着力，延长了涂膜的耐久性，有利于涂料的流平和装饰。此工序产生的三废主要是喷砂粉尘和噪声。喷砂粉尘经过</w:t>
            </w:r>
            <w:r>
              <w:rPr>
                <w:rFonts w:hint="eastAsia" w:ascii="Times New Roman" w:hAnsi="Times New Roman" w:cs="Times New Roman"/>
                <w:color w:val="auto"/>
                <w:sz w:val="24"/>
                <w:szCs w:val="24"/>
                <w:lang w:eastAsia="zh-CN"/>
              </w:rPr>
              <w:t>喷砂机</w:t>
            </w:r>
            <w:r>
              <w:rPr>
                <w:rFonts w:hint="default" w:ascii="Times New Roman" w:hAnsi="Times New Roman" w:cs="Times New Roman"/>
                <w:color w:val="auto"/>
                <w:sz w:val="24"/>
                <w:szCs w:val="24"/>
                <w:lang w:eastAsia="zh-CN"/>
              </w:rPr>
              <w:t>自带的布袋除尘器处理后再</w:t>
            </w:r>
            <w:r>
              <w:rPr>
                <w:rFonts w:hint="eastAsia" w:ascii="Times New Roman" w:hAnsi="Times New Roman" w:cs="Times New Roman"/>
                <w:color w:val="auto"/>
                <w:sz w:val="24"/>
                <w:szCs w:val="24"/>
                <w:lang w:eastAsia="zh-CN"/>
              </w:rPr>
              <w:t>经布袋除尘器处理后，通过</w:t>
            </w:r>
            <w:r>
              <w:rPr>
                <w:rFonts w:hint="default" w:ascii="Times New Roman" w:hAnsi="Times New Roman" w:cs="Times New Roman"/>
                <w:color w:val="auto"/>
                <w:sz w:val="24"/>
                <w:szCs w:val="24"/>
                <w:lang w:eastAsia="zh-CN"/>
              </w:rPr>
              <w:t>20m高排气筒排放</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PB板工艺流程</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抛光：采用布轮对PB板表面的微小毛刺进行抛光，达到表面光亮的效果，该过程会产生噪声N和废布轮S。</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丙酮擦拭：抛光后的PB板需对板上的残余物进一步清除，主要是在不破坏 PB板表面图形的前提下，利用无尘布沾染丙酮有效地去除表面吸附在表面的无机粒子等。该工序主要产生丙酮废气和废无尘布。</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drawing>
                <wp:inline distT="0" distB="0" distL="114300" distR="114300">
                  <wp:extent cx="5270500" cy="1405890"/>
                  <wp:effectExtent l="0" t="0" r="6350" b="3810"/>
                  <wp:docPr id="23" name="图片 23" descr="微信图片_2023061515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0615151805"/>
                          <pic:cNvPicPr>
                            <a:picLocks noChangeAspect="1"/>
                          </pic:cNvPicPr>
                        </pic:nvPicPr>
                        <pic:blipFill>
                          <a:blip r:embed="rId8"/>
                          <a:stretch>
                            <a:fillRect/>
                          </a:stretch>
                        </pic:blipFill>
                        <pic:spPr>
                          <a:xfrm>
                            <a:off x="0" y="0"/>
                            <a:ext cx="5270500" cy="1405890"/>
                          </a:xfrm>
                          <a:prstGeom prst="rect">
                            <a:avLst/>
                          </a:prstGeom>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 xml:space="preserve">2 </w:t>
            </w:r>
            <w:r>
              <w:rPr>
                <w:rFonts w:hint="default" w:ascii="Times New Roman" w:hAnsi="Times New Roman" w:cs="Times New Roman"/>
                <w:b/>
                <w:bCs w:val="0"/>
                <w:sz w:val="21"/>
                <w:szCs w:val="21"/>
                <w:lang w:val="en-US" w:eastAsia="zh-CN"/>
              </w:rPr>
              <w:t>BP板</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及产污节点图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喷涂</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熔射</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喷塑</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喷漆工艺</w:t>
            </w:r>
            <w:r>
              <w:rPr>
                <w:rFonts w:hint="eastAsia" w:ascii="Times New Roman" w:hAnsi="Times New Roman" w:cs="Times New Roman"/>
                <w:color w:val="auto"/>
                <w:sz w:val="24"/>
                <w:szCs w:val="24"/>
                <w:lang w:eastAsia="zh-CN"/>
              </w:rPr>
              <w:t>暂未建设。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阳极氧化工艺流程</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项目阳极氧化线位于2#车间，整个阳极氧化区域封闭，槽池抬高20cm建设，生产线底部安装托盘收集清洗液和槽液，车间内每条废水管线均进行明示，张贴分类水质标签，采用廊道式密闭全自动流水线</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工件上料</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各类工件放置于挂架上，待处理。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酸洗、水洗：项目阳极氧化生产线前道处理采用硝酸提高工件的光亮度，工序槽液是以纯水配置的10%硝酸溶液，室温条件下操作时间6h，该工序产生硝酸雾（以氮氧化物计），经槽体顶部和侧边抽风系统收集后经酸雾吸收塔处理。根据建设单位生产经验，酸洗槽液更换频次6个月/次，该工序会产生G4-1硝酸雾、W4-1酸洗槽液减量废水、S4-1酸洗槽渣。减量废水通过管道进入车间废水收集池进入厂区污水处理站处理。为了洗去工件表面残留的硝酸液，采用水洗处理，加入空气搅拌提高水洗效率。工件静置于水洗槽内20min左右，温度控制在常温，水洗完成后镀件在水洗槽上方稍作停留沥去表面残留的水，以减少水洗水的带出量。此工序会产生酸洗水洗废水W4-2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通过管道进入车间废水收集池进入厂区污水处理站处理。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脱脂、水洗：项目阳极氧化生产线化学除油采用10%的脱脂剂（主要成分 NaOH、C</w:t>
            </w:r>
            <w:r>
              <w:rPr>
                <w:rFonts w:hint="default" w:ascii="Times New Roman" w:hAnsi="Times New Roman" w:eastAsia="宋体" w:cs="Times New Roman"/>
                <w:color w:val="000000"/>
                <w:sz w:val="24"/>
                <w:szCs w:val="24"/>
                <w:vertAlign w:val="subscript"/>
              </w:rPr>
              <w:t>10-14</w:t>
            </w:r>
            <w:r>
              <w:rPr>
                <w:rFonts w:hint="default" w:ascii="Times New Roman" w:hAnsi="Times New Roman" w:eastAsia="宋体" w:cs="Times New Roman"/>
                <w:color w:val="000000"/>
                <w:sz w:val="24"/>
                <w:szCs w:val="24"/>
                <w:vertAlign w:val="superscript"/>
              </w:rPr>
              <w:t>-</w:t>
            </w:r>
            <w:r>
              <w:rPr>
                <w:rFonts w:hint="default" w:ascii="Times New Roman" w:hAnsi="Times New Roman" w:eastAsia="宋体" w:cs="Times New Roman"/>
                <w:color w:val="000000"/>
                <w:sz w:val="24"/>
                <w:szCs w:val="24"/>
              </w:rPr>
              <w:t>烷基苯磺酸衍生物钠盐，硅酸钠等），镀件静置于脱脂槽内20min 左右，温度控制在常温，可将部分油污去除。根据建设单位资料，脱脂槽中脱脂剂定期添加，更换频次为 6 个月/次，该工序会产生W4-5脱脂槽液减量废水、S4-3脱脂槽渣。减量废水通过管道进入车间废水收集池进入厂区污水处理站处理。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000000"/>
                <w:sz w:val="24"/>
                <w:szCs w:val="24"/>
              </w:rPr>
              <w:t>为了洗去工件表面残留的脱脂液，采用水洗处理，加入空气搅拌提高水洗效率。工件静置于水洗槽内20min左右，温度控制在常温，水洗完成后镀件在水洗槽上方稍作停留沥去表面残留的水，以减少水洗水的带出量。此工序会产生脱脂水洗废水W4-6，通过管道进入车间废水收集池进入厂区污水处理站处理</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碱蚀、水洗</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碱蚀的是为了去除工件表面的氧化膜，可为工件表面增光增亮，槽液的成分是10%片碱，温度约为40℃；铝材自然氧化膜与氢氧化钠反应生成偏铝酸钠和水，化学反应方程式如下：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A1</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 xml:space="preserve"> + 2NaOH = 2NaA1O</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由于铝表面自然氧化膜很薄，反应很快就完成，所以铝材放入碱槽液后有气体析出，化学反应方程式如下：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2Al+ 2NaOH+2H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 = 2NaA1O</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+3H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在强碱的水溶液中，偏铝酸钠还会发生如下反应：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2NaA1O</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+4H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 ⇌ 2Al（OH）</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↓+2NaOH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上述反应可逆，增加氢氧化钠浓度，会增加偏铝酸钠浓度，从而抑制水解产物氢氧化铝产生。因此在偏铝酸钠浓度不断增加的情况下必须不断提高氢氧化钠浓度。碱蚀槽更换周期为6个月/次，更换后产生碱蚀槽液减量废水W4-7，通过管道进入车间废水收集池进入厂区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碱蚀后工件进入水洗工序，温度维持室温，经水洗后进入氧化工序，工件静置于水洗槽内20min左右，温度控制在常温，水洗完成后镀件在水洗槽上方稍作停留沥去表面残留的水，以减少水洗水的带出量。该工序产生的碱蚀水洗废水 W4-8，通过管道进入车间废水收集池进入厂区污水处理站处理。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硝酸出光、水洗</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把镀件在稀硝酸溶液中浸一下，可再次提高镀光亮度，还可以中和零件表面未清洗干净的碱液。出光工序槽液是以纯水配置的10%硝酸溶液，室温条件下操作时间6h，该工序产生硝酸雾（G4-3）（以氮氧化物计），经槽体顶部和侧边抽风系统收集后经酸雾吸收塔处理。根据建设单位生产经验，硝酸出光槽液更换频次6个月/次，硝酸出光减量废水（W4-9）通过管道进入车间综合废水收集池进入厂区污水处理站处理，S4-5硝酸出光槽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出光后工件进入水洗工序，温度维持室温，经水洗后进入氧化工序，工件静置于水洗槽内20min 左右，温度控制在常温，水洗完成后镀件在水洗槽上方稍作停留沥去表面残留的水，以减少水洗水的带出量。该工序产生的硝酸出光水洗废水（W4-10），通过管道进入车间综合废水收集池进入厂区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阳极氧化、二级逆流水洗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阳极氧化过程主要是通过电解使铝材表面形成防腐蚀膜，其原理是以铝件为阳极置于电解质溶液中，利用电解作用使其表面形成氧化铝薄膜的过程。铝阳极同时发生形成氧化铝膜和氧化铝溶解两个反应过程。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成膜过程：2Al+3H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O→Al</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+6H</w:t>
            </w:r>
            <w:r>
              <w:rPr>
                <w:rFonts w:hint="default" w:ascii="Times New Roman" w:hAnsi="Times New Roman" w:cs="Times New Roman"/>
                <w:color w:val="auto"/>
                <w:sz w:val="24"/>
                <w:szCs w:val="24"/>
                <w:vertAlign w:val="superscript"/>
                <w:lang w:eastAsia="zh-CN"/>
              </w:rPr>
              <w:t>+</w:t>
            </w:r>
            <w:r>
              <w:rPr>
                <w:rFonts w:hint="default" w:ascii="Times New Roman" w:hAnsi="Times New Roman" w:cs="Times New Roman"/>
                <w:color w:val="auto"/>
                <w:sz w:val="24"/>
                <w:szCs w:val="24"/>
                <w:lang w:eastAsia="zh-CN"/>
              </w:rPr>
              <w:t>+6e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膜溶解过程：Al</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+6H</w:t>
            </w:r>
            <w:r>
              <w:rPr>
                <w:rFonts w:hint="default" w:ascii="Times New Roman" w:hAnsi="Times New Roman" w:cs="Times New Roman"/>
                <w:color w:val="auto"/>
                <w:sz w:val="24"/>
                <w:szCs w:val="24"/>
                <w:vertAlign w:val="superscript"/>
                <w:lang w:eastAsia="zh-CN"/>
              </w:rPr>
              <w:t>+</w:t>
            </w:r>
            <w:r>
              <w:rPr>
                <w:rFonts w:hint="default" w:ascii="Times New Roman" w:hAnsi="Times New Roman" w:cs="Times New Roman"/>
                <w:color w:val="auto"/>
                <w:sz w:val="24"/>
                <w:szCs w:val="24"/>
                <w:lang w:eastAsia="zh-CN"/>
              </w:rPr>
              <w:t>→2Al</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+3H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阴极上发生水的分解析出氢气：6H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O+6e→3H</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↑+6OH</w:t>
            </w:r>
            <w:r>
              <w:rPr>
                <w:rFonts w:hint="default" w:ascii="Times New Roman" w:hAnsi="Times New Roman" w:cs="Times New Roman"/>
                <w:color w:val="auto"/>
                <w:sz w:val="24"/>
                <w:szCs w:val="24"/>
                <w:vertAlign w:val="superscript"/>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采用硫酸阳极氧化、草酸阳极氧化以及混酸阳极氧化，硫酸阳极氧化槽液硫酸浓度控制在8%左右，草酸阳极氧化槽中草酸浓度控制在10%左右，混酸阳极氧化采用5%硫酸和8%草酸；温度均控制在10℃，时间约为8h。阳极氧化槽6个月更换一次，一次更换底部50%的槽液，更换的废液S4-6作为危废委托有资质单位进行安全处置。阳极氧化硫酸溶液产生的硫酸雾G4-4、采用酸雾抑制剂源头控制+廊道式密闭+槽边抽风+顶抽的方式收集至酸雾废气塔处理达标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经阳极氧化后进入二级逆流水洗槽，二级水洗的水可回用于一级水洗，常温下每道水洗持续20min。水洗工序产生水洗废水W4-11，通过管道进入车间废水收集池进入厂区污水处理站处理。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封孔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sz w:val="24"/>
                <w:szCs w:val="24"/>
                <w:lang w:eastAsia="zh-CN"/>
              </w:rPr>
              <w:t>铝材的阳极氧化膜有大量孔洞，其表面吸附性很强，为提高氧化膜的防污染和抗腐蚀性能，封孔主要作用是将铝材表面细小毛孔实施封闭，使铝材起到耐腐蚀作用。封孔剂为无镍（重金属）常温封孔剂，主要成分为：氟锆酸钾、硅氧烷、硫脲，封孔剂与水配置成浓度为封孔槽液，温度控制在 80℃，时间约为 1h。</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5648" behindDoc="0" locked="0" layoutInCell="1" allowOverlap="1">
                <wp:simplePos x="0" y="0"/>
                <wp:positionH relativeFrom="column">
                  <wp:posOffset>3605530</wp:posOffset>
                </wp:positionH>
                <wp:positionV relativeFrom="paragraph">
                  <wp:posOffset>1586230</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9pt;margin-top:124.9pt;height:38.95pt;width:69.6pt;z-index:251675648;mso-width-relative:page;mso-height-relative:page;" filled="f" stroked="f" coordsize="21600,21600" o:gfxdata="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v0wxY3AAAAAsBAAAPAAAAAAAA&#10;AAEAIAAAACIAAABkcnMvZG93bnJldi54bWxQSwECFAAUAAAACACHTuJAfwg+gEcCAABxBAAADgAA&#10;AAAAAAABACAAAAArAQAAZHJzL2Uyb0RvYy54bWxQSwUGAAAAAAYABgBZAQAA5AUAAAAA&#10;">
                <v:fill on="f" focussize="0,0"/>
                <v:stroke on="f" weight="0.5pt"/>
                <v:imagedata o:title=""/>
                <o:lock v:ext="edit" aspectratio="f"/>
                <v:textbo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3696970</wp:posOffset>
                </wp:positionH>
                <wp:positionV relativeFrom="paragraph">
                  <wp:posOffset>1529715</wp:posOffset>
                </wp:positionV>
                <wp:extent cx="457200" cy="404495"/>
                <wp:effectExtent l="6985" t="6350" r="7620" b="12700"/>
                <wp:wrapNone/>
                <wp:docPr id="2" name="平行四边形 2"/>
                <wp:cNvGraphicFramePr/>
                <a:graphic xmlns:a="http://schemas.openxmlformats.org/drawingml/2006/main">
                  <a:graphicData uri="http://schemas.microsoft.com/office/word/2010/wordprocessingShape">
                    <wps:wsp>
                      <wps:cNvSpPr/>
                      <wps:spPr>
                        <a:xfrm rot="5400000">
                          <a:off x="4802505" y="3611245"/>
                          <a:ext cx="457200" cy="404495"/>
                        </a:xfrm>
                        <a:prstGeom prst="parallelogram">
                          <a:avLst>
                            <a:gd name="adj" fmla="val 0"/>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291.1pt;margin-top:120.45pt;height:31.85pt;width:36pt;rotation:5898240f;z-index:251674624;v-text-anchor:middle;mso-width-relative:page;mso-height-relative:page;" fillcolor="#FF0000" filled="t" stroked="t" coordsize="21600,21600" o:gfxdata="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VtbYutoAAAALAQAADwAAAAAAAAABACAAAAAi&#10;AAAAZHJzL2Rvd25yZXYueG1sUEsBAhQAFAAAAAgAh07iQH0uWXCzAgAAaAUAAA4AAAAAAAAAAQAg&#10;AAAAKQEAAGRycy9lMm9Eb2MueG1sUEsFBgAAAAAGAAYAWQEAAE4GAAAAAA==&#10;" adj="0">
                <v:fill on="t" opacity="19660f" focussize="0,0"/>
                <v:stroke weight="1pt" color="#FF0000 [3204]" miterlimit="8" joinstyle="miter"/>
                <v:imagedata o:title=""/>
                <o:lock v:ext="edit" aspectratio="f"/>
              </v:shape>
            </w:pict>
          </mc:Fallback>
        </mc:AlternateContent>
      </w:r>
      <w:r>
        <w:drawing>
          <wp:anchor distT="0" distB="0" distL="114300" distR="114300" simplePos="0" relativeHeight="251679744" behindDoc="0" locked="0" layoutInCell="1" allowOverlap="1">
            <wp:simplePos x="0" y="0"/>
            <wp:positionH relativeFrom="column">
              <wp:posOffset>7526655</wp:posOffset>
            </wp:positionH>
            <wp:positionV relativeFrom="paragraph">
              <wp:posOffset>91440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3578225</wp:posOffset>
                </wp:positionH>
                <wp:positionV relativeFrom="paragraph">
                  <wp:posOffset>3836035</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图5-3 </w:t>
                            </w:r>
                            <w:r>
                              <w:rPr>
                                <w:rFonts w:hint="default"/>
                                <w:b/>
                                <w:bCs/>
                                <w:sz w:val="21"/>
                                <w:szCs w:val="21"/>
                                <w:lang w:val="en-US" w:eastAsia="zh-CN"/>
                              </w:rPr>
                              <w:t>厂区</w:t>
                            </w:r>
                            <w:r>
                              <w:rPr>
                                <w:rFonts w:hint="eastAsia"/>
                                <w:b/>
                                <w:bCs/>
                                <w:sz w:val="21"/>
                                <w:szCs w:val="21"/>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75pt;margin-top:302.05pt;height:23.75pt;width:149.3pt;z-index:251660288;mso-width-relative:page;mso-height-relative:page;" fillcolor="#FFFFFF [3201]" filled="t" stroked="t" coordsize="21600,21600" o:gfxdata="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dk9MNsAAAALAQAADwAAAAAAAAABACAAAAAiAAAAZHJzL2Rvd25yZXYueG1sUEsB&#10;AhQAFAAAAAgAh07iQO9bQpdkAgAA1QQAAA4AAAAAAAAAAQAgAAAAKgEAAGRycy9lMm9Eb2MueG1s&#10;UEsFBgAAAAAGAAYAWQEAAAAGA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图5-3 </w:t>
                      </w:r>
                      <w:r>
                        <w:rPr>
                          <w:rFonts w:hint="default"/>
                          <w:b/>
                          <w:bCs/>
                          <w:sz w:val="21"/>
                          <w:szCs w:val="21"/>
                          <w:lang w:val="en-US" w:eastAsia="zh-CN"/>
                        </w:rPr>
                        <w:t>厂区</w:t>
                      </w:r>
                      <w:r>
                        <w:rPr>
                          <w:rFonts w:hint="eastAsia"/>
                          <w:b/>
                          <w:bCs/>
                          <w:sz w:val="21"/>
                          <w:szCs w:val="21"/>
                          <w:lang w:val="en-US" w:eastAsia="zh-CN"/>
                        </w:rPr>
                        <w:t>地理位置图</w:t>
                      </w:r>
                    </w:p>
                    <w:p/>
                  </w:txbxContent>
                </v:textbox>
              </v:shape>
            </w:pict>
          </mc:Fallback>
        </mc:AlternateContent>
      </w:r>
      <w:r>
        <w:rPr>
          <w:rFonts w:hint="eastAsia" w:eastAsiaTheme="minorEastAsia"/>
          <w:sz w:val="21"/>
          <w:lang w:eastAsia="zh-CN"/>
        </w:rPr>
        <w:drawing>
          <wp:inline distT="0" distB="0" distL="114300" distR="114300">
            <wp:extent cx="8393430" cy="3590925"/>
            <wp:effectExtent l="0" t="0" r="7620" b="9525"/>
            <wp:docPr id="9" name="图片 9" descr="9980885ee9479bd832aac91a546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980885ee9479bd832aac91a5463823"/>
                    <pic:cNvPicPr>
                      <a:picLocks noChangeAspect="1"/>
                    </pic:cNvPicPr>
                  </pic:nvPicPr>
                  <pic:blipFill>
                    <a:blip r:embed="rId10"/>
                    <a:stretch>
                      <a:fillRect/>
                    </a:stretch>
                  </pic:blipFill>
                  <pic:spPr>
                    <a:xfrm>
                      <a:off x="0" y="0"/>
                      <a:ext cx="8393430" cy="3590925"/>
                    </a:xfrm>
                    <a:prstGeom prst="rect">
                      <a:avLst/>
                    </a:prstGeom>
                  </pic:spPr>
                </pic:pic>
              </a:graphicData>
            </a:graphic>
          </wp:inline>
        </w:drawing>
      </w:r>
    </w:p>
    <w:p>
      <w:pPr>
        <w:pStyle w:val="2"/>
        <w:jc w:val="center"/>
        <w:rPr>
          <w:rFonts w:hint="eastAsia" w:eastAsiaTheme="minor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3626485</wp:posOffset>
                </wp:positionH>
                <wp:positionV relativeFrom="paragraph">
                  <wp:posOffset>4963795</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图5-4 </w:t>
                            </w:r>
                            <w:r>
                              <w:rPr>
                                <w:rFonts w:hint="default"/>
                                <w:b/>
                                <w:bCs/>
                                <w:sz w:val="21"/>
                                <w:szCs w:val="21"/>
                                <w:lang w:val="en-US" w:eastAsia="zh-CN"/>
                              </w:rPr>
                              <w:t>厂区</w:t>
                            </w:r>
                            <w:r>
                              <w:rPr>
                                <w:rFonts w:hint="eastAsia"/>
                                <w:b/>
                                <w:bCs/>
                                <w:sz w:val="21"/>
                                <w:szCs w:val="21"/>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5pt;margin-top:390.85pt;height:23.75pt;width:145.65pt;z-index:251677696;mso-width-relative:page;mso-height-relative:page;" fillcolor="#FFFFFF [3201]" filled="t" stroked="t" coordsize="21600,21600" o:gfxdata="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tjI/twAAAALAQAADwAAAAAAAAABACAAAAAiAAAAZHJzL2Rvd25yZXYueG1s&#10;UEsBAhQAFAAAAAgAh07iQID4Z8xmAgAA1wQAAA4AAAAAAAAAAQAgAAAAKwEAAGRycy9lMm9Eb2Mu&#10;eG1sUEsFBgAAAAAGAAYAWQEAAAMGA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图5-4 </w:t>
                      </w:r>
                      <w:r>
                        <w:rPr>
                          <w:rFonts w:hint="default"/>
                          <w:b/>
                          <w:bCs/>
                          <w:sz w:val="21"/>
                          <w:szCs w:val="21"/>
                          <w:lang w:val="en-US" w:eastAsia="zh-CN"/>
                        </w:rPr>
                        <w:t>厂区</w:t>
                      </w:r>
                      <w:r>
                        <w:rPr>
                          <w:rFonts w:hint="eastAsia"/>
                          <w:b/>
                          <w:bCs/>
                          <w:sz w:val="21"/>
                          <w:szCs w:val="21"/>
                          <w:lang w:val="en-US" w:eastAsia="zh-CN"/>
                        </w:rPr>
                        <w:t>平面布置图</w:t>
                      </w:r>
                    </w:p>
                    <w:p/>
                  </w:txbxContent>
                </v:textbox>
              </v:shape>
            </w:pict>
          </mc:Fallback>
        </mc:AlternateContent>
      </w:r>
      <w:r>
        <w:drawing>
          <wp:anchor distT="0" distB="0" distL="114300" distR="114300" simplePos="0" relativeHeight="251678720" behindDoc="0" locked="0" layoutInCell="1" allowOverlap="1">
            <wp:simplePos x="0" y="0"/>
            <wp:positionH relativeFrom="column">
              <wp:posOffset>7480935</wp:posOffset>
            </wp:positionH>
            <wp:positionV relativeFrom="paragraph">
              <wp:posOffset>120650</wp:posOffset>
            </wp:positionV>
            <wp:extent cx="848995" cy="942975"/>
            <wp:effectExtent l="0" t="0" r="8255" b="952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
                    <a:stretch>
                      <a:fillRect/>
                    </a:stretch>
                  </pic:blipFill>
                  <pic:spPr>
                    <a:xfrm>
                      <a:off x="0" y="0"/>
                      <a:ext cx="848995" cy="942975"/>
                    </a:xfrm>
                    <a:prstGeom prst="rect">
                      <a:avLst/>
                    </a:prstGeom>
                    <a:noFill/>
                    <a:ln>
                      <a:noFill/>
                    </a:ln>
                  </pic:spPr>
                </pic:pic>
              </a:graphicData>
            </a:graphic>
          </wp:anchor>
        </w:drawing>
      </w:r>
      <w:r>
        <w:rPr>
          <w:rFonts w:hint="eastAsia" w:eastAsiaTheme="minorEastAsia"/>
          <w:lang w:eastAsia="zh-CN"/>
        </w:rPr>
        <w:drawing>
          <wp:inline distT="0" distB="0" distL="114300" distR="114300">
            <wp:extent cx="6311265" cy="4736465"/>
            <wp:effectExtent l="0" t="0" r="13335" b="6985"/>
            <wp:docPr id="19" name="图片 19" descr="E:/排污许可/舜派/舜派/平面图.png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排污许可/舜派/舜派/平面图.png平面图"/>
                    <pic:cNvPicPr>
                      <a:picLocks noChangeAspect="1"/>
                    </pic:cNvPicPr>
                  </pic:nvPicPr>
                  <pic:blipFill>
                    <a:blip r:embed="rId11"/>
                    <a:srcRect t="5" b="5"/>
                    <a:stretch>
                      <a:fillRect/>
                    </a:stretch>
                  </pic:blipFill>
                  <pic:spPr>
                    <a:xfrm>
                      <a:off x="0" y="0"/>
                      <a:ext cx="6311265" cy="4736465"/>
                    </a:xfrm>
                    <a:prstGeom prst="rect">
                      <a:avLst/>
                    </a:prstGeom>
                  </pic:spPr>
                </pic:pic>
              </a:graphicData>
            </a:graphic>
          </wp:inline>
        </w:drawing>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本项目废水主要为</w:t>
            </w:r>
            <w:r>
              <w:rPr>
                <w:rFonts w:hint="eastAsia" w:ascii="Times New Roman" w:hAnsi="Times New Roman" w:cs="Times New Roman"/>
                <w:color w:val="auto"/>
                <w:sz w:val="24"/>
                <w:szCs w:val="24"/>
                <w:lang w:eastAsia="zh-CN"/>
              </w:rPr>
              <w:t>生产废水及</w:t>
            </w:r>
            <w:r>
              <w:rPr>
                <w:rFonts w:hint="default" w:ascii="Times New Roman" w:hAnsi="Times New Roman" w:cs="Times New Roman"/>
                <w:color w:val="auto"/>
                <w:sz w:val="24"/>
                <w:szCs w:val="24"/>
              </w:rPr>
              <w:t>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项目产生的酸雾经酸雾喷淋塔处理后通过排气筒排放</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喷淋塔循环水量为</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/d，补水量按循环量的1%计，为</w:t>
            </w:r>
            <w:r>
              <w:rPr>
                <w:rFonts w:hint="eastAsia" w:ascii="Times New Roman" w:hAnsi="Times New Roman" w:cs="Times New Roman"/>
                <w:color w:val="auto"/>
                <w:sz w:val="24"/>
                <w:szCs w:val="24"/>
                <w:lang w:val="en-US" w:eastAsia="zh-CN"/>
              </w:rPr>
              <w:t>0.5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/d，损耗率按</w:t>
            </w:r>
            <w:r>
              <w:rPr>
                <w:rFonts w:hint="eastAsia"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计</w:t>
            </w:r>
            <w:r>
              <w:rPr>
                <w:rFonts w:hint="default" w:ascii="Times New Roman" w:hAnsi="Times New Roman" w:cs="Times New Roman"/>
                <w:color w:val="auto"/>
                <w:sz w:val="24"/>
                <w:szCs w:val="24"/>
              </w:rPr>
              <w:t>，则喷淋废水产生量为0.</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项目脱脂、碱蚀、阳极氧化、着色、封孔等环节均需配备相应的水洗环节对处理后的铝型材进行清洗，工作时间与不同工序处理工件量成正比</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清洗槽年清洗水投加量为年清洗水蒸发量及工件带走消耗量与年清洗水排放量之和，</w:t>
            </w:r>
            <w:r>
              <w:rPr>
                <w:rFonts w:hint="eastAsia" w:ascii="Times New Roman" w:hAnsi="Times New Roman" w:cs="Times New Roman"/>
                <w:color w:val="auto"/>
                <w:sz w:val="24"/>
                <w:szCs w:val="24"/>
                <w:lang w:eastAsia="zh-CN"/>
              </w:rPr>
              <w:t>阳极氧化用水量为</w:t>
            </w:r>
            <w:r>
              <w:rPr>
                <w:rFonts w:hint="eastAsia" w:ascii="Times New Roman" w:hAnsi="Times New Roman" w:cs="Times New Roman"/>
                <w:color w:val="auto"/>
                <w:sz w:val="24"/>
                <w:szCs w:val="24"/>
                <w:lang w:val="en-US" w:eastAsia="zh-CN"/>
              </w:rPr>
              <w:t>39.5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，阳极氧化</w:t>
            </w:r>
            <w:r>
              <w:rPr>
                <w:rFonts w:hint="default" w:ascii="Times New Roman" w:hAnsi="Times New Roman" w:cs="Times New Roman"/>
                <w:color w:val="auto"/>
                <w:sz w:val="24"/>
                <w:szCs w:val="24"/>
              </w:rPr>
              <w:t>废水</w:t>
            </w:r>
            <w:r>
              <w:rPr>
                <w:rFonts w:hint="eastAsia" w:ascii="Times New Roman" w:hAnsi="Times New Roman" w:cs="Times New Roman"/>
                <w:color w:val="auto"/>
                <w:sz w:val="24"/>
                <w:szCs w:val="24"/>
                <w:lang w:eastAsia="zh-CN"/>
              </w:rPr>
              <w:t>排放</w:t>
            </w:r>
            <w:r>
              <w:rPr>
                <w:rFonts w:hint="default" w:ascii="Times New Roman" w:hAnsi="Times New Roman" w:cs="Times New Roman"/>
                <w:color w:val="auto"/>
                <w:sz w:val="24"/>
                <w:szCs w:val="24"/>
              </w:rPr>
              <w:t>量为</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项目生活用水量为10m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/d，排污系数按0.8</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计，则生活污水产生量为8</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项目厂区内建设污水处理站一座，处理能力为</w:t>
            </w:r>
            <w:r>
              <w:rPr>
                <w:rFonts w:hint="eastAsia" w:ascii="Times New Roman" w:hAnsi="Times New Roman" w:cs="Times New Roman"/>
                <w:color w:val="auto"/>
                <w:sz w:val="24"/>
                <w:szCs w:val="24"/>
                <w:lang w:val="en-US" w:eastAsia="zh-CN"/>
              </w:rPr>
              <w:t>150</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/d，工艺流程如下。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物化阶段：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1）生产废水COD浓度高，含盐量高，经过</w:t>
            </w:r>
            <w:r>
              <w:rPr>
                <w:rFonts w:hint="eastAsia" w:ascii="Times New Roman" w:hAnsi="Times New Roman" w:cs="Times New Roman"/>
                <w:color w:val="auto"/>
                <w:sz w:val="24"/>
                <w:szCs w:val="24"/>
                <w:lang w:val="en-US" w:eastAsia="zh-CN"/>
              </w:rPr>
              <w:t>p</w:t>
            </w:r>
            <w:r>
              <w:rPr>
                <w:rFonts w:hint="eastAsia" w:ascii="Times New Roman" w:hAnsi="Times New Roman" w:cs="Times New Roman"/>
                <w:color w:val="auto"/>
                <w:sz w:val="24"/>
                <w:szCs w:val="24"/>
                <w:lang w:eastAsia="zh-CN"/>
              </w:rPr>
              <w:t>H中和，物化沉淀去除金属铝和盐类后，经预处理后的废水进入调节池进行水质水量的综合调节。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2）生化处理阶段：（A/O工艺）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A/O分为二部分，分别为缺氧、好氧区。经预处理后的废水经提升泵提升进入缺氧反应池，本反应池的首要功能是脱氮，硝态氮是通过内循环由好氧反应池回流至缺氧池。废水经缺氧反应后进入好氧池内，这一反应池单元是多功能的，去除COD、BOD、硝化和吸收磷等项反应都在本反应池内进行。经生化处理后的泥水混合液进入混凝沉淀池进行泥水分离。上清液作为处理水排放，沉淀污泥部分回流至厌氧池，部分作为剩余污泥排至污泥浓缩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污泥处置阶段：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水处理过程产生的污泥进入污泥浓缩池内，经隔膜泵提升至板框式压滤机进行脱水压滤，滤液回流至调节池内，污泥暂存于危废间，定期委托有资质的单位处理。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生活污水由化粪池处理</w:t>
            </w:r>
            <w:r>
              <w:rPr>
                <w:rFonts w:hint="eastAsia" w:ascii="Times New Roman" w:hAnsi="Times New Roman" w:cs="Times New Roman"/>
                <w:color w:val="auto"/>
                <w:sz w:val="24"/>
                <w:szCs w:val="24"/>
                <w:lang w:eastAsia="zh-CN"/>
              </w:rPr>
              <w:t>，生产废水经厂区内污水处理站处理</w:t>
            </w:r>
            <w:r>
              <w:rPr>
                <w:rFonts w:hint="default" w:ascii="Times New Roman" w:hAnsi="Times New Roman" w:cs="Times New Roman"/>
                <w:color w:val="auto"/>
                <w:sz w:val="24"/>
                <w:szCs w:val="24"/>
              </w:rPr>
              <w:t>后，排入市政污水管网，进入</w:t>
            </w:r>
            <w:r>
              <w:rPr>
                <w:rFonts w:hint="eastAsia" w:ascii="Times New Roman" w:hAnsi="Times New Roman" w:cs="Times New Roman"/>
                <w:color w:val="auto"/>
                <w:sz w:val="24"/>
                <w:szCs w:val="24"/>
                <w:lang w:eastAsia="zh-CN"/>
              </w:rPr>
              <w:t>港口</w:t>
            </w:r>
            <w:r>
              <w:rPr>
                <w:rFonts w:hint="default" w:ascii="Times New Roman" w:hAnsi="Times New Roman" w:cs="Times New Roman"/>
                <w:color w:val="auto"/>
                <w:sz w:val="24"/>
                <w:szCs w:val="24"/>
              </w:rPr>
              <w:t>污水处理厂处理达标后尾水排入</w:t>
            </w:r>
            <w:r>
              <w:rPr>
                <w:rFonts w:hint="eastAsia" w:ascii="Times New Roman" w:hAnsi="Times New Roman" w:cs="Times New Roman"/>
                <w:color w:val="auto"/>
                <w:sz w:val="24"/>
                <w:szCs w:val="24"/>
                <w:lang w:eastAsia="zh-CN"/>
              </w:rPr>
              <w:t>水阳江。</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drawing>
                <wp:inline distT="0" distB="0" distL="114300" distR="114300">
                  <wp:extent cx="2878455" cy="2160270"/>
                  <wp:effectExtent l="0" t="0" r="17145" b="11430"/>
                  <wp:docPr id="31" name="图片 31" descr="4b27f45ecc03225a0b91bccc21a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b27f45ecc03225a0b91bccc21a0625"/>
                          <pic:cNvPicPr>
                            <a:picLocks noChangeAspect="1"/>
                          </pic:cNvPicPr>
                        </pic:nvPicPr>
                        <pic:blipFill>
                          <a:blip r:embed="rId12"/>
                          <a:stretch>
                            <a:fillRect/>
                          </a:stretch>
                        </pic:blipFill>
                        <pic:spPr>
                          <a:xfrm>
                            <a:off x="0" y="0"/>
                            <a:ext cx="2878455" cy="2160270"/>
                          </a:xfrm>
                          <a:prstGeom prst="rect">
                            <a:avLst/>
                          </a:prstGeom>
                        </pic:spPr>
                      </pic:pic>
                    </a:graphicData>
                  </a:graphic>
                </wp:inline>
              </w:drawing>
            </w:r>
            <w:r>
              <w:rPr>
                <w:rFonts w:hint="eastAsia" w:ascii="Times New Roman" w:hAnsi="Times New Roman" w:cs="Times New Roman"/>
                <w:color w:val="auto"/>
                <w:sz w:val="24"/>
                <w:szCs w:val="24"/>
                <w:lang w:val="en-US" w:eastAsia="zh-CN"/>
              </w:rPr>
              <w:drawing>
                <wp:inline distT="0" distB="0" distL="114300" distR="114300">
                  <wp:extent cx="2642235" cy="3490595"/>
                  <wp:effectExtent l="0" t="0" r="5715" b="14605"/>
                  <wp:docPr id="11" name="图片 11" descr="f72f72ed45df1d133e640a703101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72f72ed45df1d133e640a7031012e2"/>
                          <pic:cNvPicPr>
                            <a:picLocks noChangeAspect="1"/>
                          </pic:cNvPicPr>
                        </pic:nvPicPr>
                        <pic:blipFill>
                          <a:blip r:embed="rId13"/>
                          <a:srcRect t="1045"/>
                          <a:stretch>
                            <a:fillRect/>
                          </a:stretch>
                        </pic:blipFill>
                        <pic:spPr>
                          <a:xfrm>
                            <a:off x="0" y="0"/>
                            <a:ext cx="2642235" cy="3490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图</w:t>
            </w:r>
            <w:r>
              <w:rPr>
                <w:rFonts w:hint="eastAsia" w:ascii="Times New Roman" w:hAnsi="Times New Roman" w:cs="Times New Roman"/>
                <w:b/>
                <w:bCs/>
                <w:color w:val="auto"/>
                <w:sz w:val="21"/>
                <w:szCs w:val="21"/>
                <w:lang w:val="en-US" w:eastAsia="zh-CN"/>
              </w:rPr>
              <w:t>6-1 污水处理站及工艺流程图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val="en-US" w:eastAsia="zh-CN"/>
              </w:rPr>
              <w:t>本项目产生的废气主要为</w:t>
            </w:r>
            <w:r>
              <w:rPr>
                <w:rFonts w:hint="eastAsia"/>
                <w:color w:val="auto"/>
                <w:sz w:val="24"/>
                <w:lang w:eastAsia="zh-CN"/>
              </w:rPr>
              <w:t>喷砂、阳极氧化、丙酮擦拭等工序产生的废气</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物为颗粒物、</w:t>
            </w:r>
            <w:r>
              <w:rPr>
                <w:rFonts w:hint="eastAsia"/>
                <w:color w:val="auto"/>
                <w:sz w:val="24"/>
                <w:lang w:eastAsia="zh-CN"/>
              </w:rPr>
              <w:t>硫酸雾、氮氧化物、丙酮</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喷砂废气经二级布袋除尘器处理后，通过1根20m高排气筒（DA001）排放；阳极氧化废气产生的硫酸雾、氮氧化物经两侧槽边抽风+顶部抽风收集，通过两套碱液喷淋塔处理后，通过2根20m高排气筒（DA002、DA003）排放；丙酮擦拭废气采用无尘室+集气罩收集后，经两级活性炭吸附装置处理后，通过1根20m高排气筒（DA004）排放。</w:t>
            </w:r>
          </w:p>
          <w:p>
            <w:pPr>
              <w:spacing w:line="36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表6-1 </w:t>
            </w:r>
            <w:r>
              <w:rPr>
                <w:rFonts w:hint="default" w:ascii="Times New Roman" w:hAnsi="Times New Roman" w:cs="Times New Roman"/>
                <w:b/>
                <w:bCs/>
                <w:sz w:val="21"/>
                <w:szCs w:val="21"/>
                <w:lang w:val="en-US" w:eastAsia="zh-CN"/>
              </w:rPr>
              <w:t>废气污染源及治理措施</w:t>
            </w:r>
          </w:p>
          <w:tbl>
            <w:tblPr>
              <w:tblStyle w:val="13"/>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232"/>
              <w:gridCol w:w="2421"/>
              <w:gridCol w:w="1518"/>
              <w:gridCol w:w="2421"/>
              <w:gridCol w:w="11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708" w:type="pct"/>
                  <w:tcBorders>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产污环节</w:t>
                  </w:r>
                </w:p>
              </w:tc>
              <w:tc>
                <w:tcPr>
                  <w:tcW w:w="1391" w:type="pct"/>
                  <w:tcBorders>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污染物名称</w:t>
                  </w:r>
                </w:p>
              </w:tc>
              <w:tc>
                <w:tcPr>
                  <w:tcW w:w="872" w:type="pct"/>
                  <w:tcBorders>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可行技术</w:t>
                  </w:r>
                </w:p>
              </w:tc>
              <w:tc>
                <w:tcPr>
                  <w:tcW w:w="1391" w:type="pct"/>
                  <w:tcBorders>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本项目采取的措施</w:t>
                  </w:r>
                </w:p>
              </w:tc>
              <w:tc>
                <w:tcPr>
                  <w:tcW w:w="636" w:type="pct"/>
                  <w:tcBorders>
                    <w:left w:val="single" w:color="000000" w:sz="4" w:space="0"/>
                    <w:bottom w:val="single" w:color="000000" w:sz="4" w:space="0"/>
                    <w:right w:val="single" w:color="000000" w:sz="12"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是否可行技术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708" w:type="pct"/>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喷砂</w:t>
                  </w:r>
                </w:p>
              </w:tc>
              <w:tc>
                <w:tcPr>
                  <w:tcW w:w="139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p>
              </w:tc>
              <w:tc>
                <w:tcPr>
                  <w:tcW w:w="87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139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二级布袋除尘器</w:t>
                  </w:r>
                </w:p>
              </w:tc>
              <w:tc>
                <w:tcPr>
                  <w:tcW w:w="636" w:type="pct"/>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708" w:type="pct"/>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阳极氧化</w:t>
                  </w:r>
                </w:p>
              </w:tc>
              <w:tc>
                <w:tcPr>
                  <w:tcW w:w="139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硫酸雾、氮氧化物</w:t>
                  </w:r>
                </w:p>
              </w:tc>
              <w:tc>
                <w:tcPr>
                  <w:tcW w:w="87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color w:val="auto"/>
                      <w:sz w:val="21"/>
                      <w:szCs w:val="21"/>
                      <w:lang w:eastAsia="zh-CN"/>
                    </w:rPr>
                    <w:t>碱液喷淋</w:t>
                  </w:r>
                </w:p>
              </w:tc>
              <w:tc>
                <w:tcPr>
                  <w:tcW w:w="139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两套</w:t>
                  </w:r>
                  <w:r>
                    <w:rPr>
                      <w:rFonts w:hint="eastAsia" w:ascii="Times New Roman" w:hAnsi="Times New Roman" w:cs="Times New Roman"/>
                      <w:color w:val="auto"/>
                      <w:sz w:val="21"/>
                      <w:szCs w:val="21"/>
                      <w:lang w:eastAsia="zh-CN"/>
                    </w:rPr>
                    <w:t>碱液</w:t>
                  </w:r>
                  <w:r>
                    <w:rPr>
                      <w:rFonts w:hint="default" w:ascii="Times New Roman" w:hAnsi="Times New Roman" w:cs="Times New Roman"/>
                      <w:b w:val="0"/>
                      <w:bCs w:val="0"/>
                      <w:sz w:val="21"/>
                      <w:szCs w:val="21"/>
                      <w:lang w:val="en-US" w:eastAsia="zh-CN"/>
                    </w:rPr>
                    <w:t>喷淋塔</w:t>
                  </w:r>
                </w:p>
              </w:tc>
              <w:tc>
                <w:tcPr>
                  <w:tcW w:w="636" w:type="pct"/>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default"/>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708" w:type="pct"/>
                  <w:tcBorders>
                    <w:top w:val="single" w:color="000000" w:sz="4" w:space="0"/>
                    <w:left w:val="single" w:color="000000" w:sz="12"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丙酮擦拭</w:t>
                  </w:r>
                </w:p>
              </w:tc>
              <w:tc>
                <w:tcPr>
                  <w:tcW w:w="1391" w:type="pct"/>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丙酮</w:t>
                  </w:r>
                </w:p>
              </w:tc>
              <w:tc>
                <w:tcPr>
                  <w:tcW w:w="872" w:type="pct"/>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两级活性炭吸附</w:t>
                  </w:r>
                </w:p>
              </w:tc>
              <w:tc>
                <w:tcPr>
                  <w:tcW w:w="1391" w:type="pct"/>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两级活性炭吸附</w:t>
                  </w:r>
                </w:p>
              </w:tc>
              <w:tc>
                <w:tcPr>
                  <w:tcW w:w="636" w:type="pct"/>
                  <w:tcBorders>
                    <w:top w:val="single" w:color="000000" w:sz="4" w:space="0"/>
                    <w:left w:val="single" w:color="000000" w:sz="4" w:space="0"/>
                    <w:bottom w:val="single" w:color="000000" w:sz="12" w:space="0"/>
                    <w:right w:val="single" w:color="000000" w:sz="12" w:space="0"/>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auto"/>
                <w:sz w:val="24"/>
                <w:szCs w:val="24"/>
                <w:u w:val="none"/>
                <w:lang w:val="en-US" w:eastAsia="zh-CN"/>
              </w:rPr>
              <w:t>经上表分析，本项目采取的废气治理措施工艺均为可行技术。车间内</w:t>
            </w:r>
            <w:r>
              <w:rPr>
                <w:rFonts w:hint="default" w:ascii="Times New Roman" w:hAnsi="Times New Roman" w:eastAsia="宋体" w:cs="Times New Roman"/>
                <w:b w:val="0"/>
                <w:bCs w:val="0"/>
                <w:color w:val="auto"/>
                <w:sz w:val="24"/>
                <w:szCs w:val="24"/>
                <w:u w:val="none"/>
                <w:lang w:val="en-US" w:eastAsia="zh-CN"/>
              </w:rPr>
              <w:t>加强废气处理设施的收集效率，并在车间安装机械通风设施，以减少无组织废气排放对职工及环境的影响。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宋体" w:hAnsi="宋体" w:eastAsia="宋体" w:cs="宋体"/>
                <w:color w:val="auto"/>
                <w:sz w:val="21"/>
                <w:szCs w:val="21"/>
                <w:lang w:eastAsia="zh-CN"/>
              </w:rPr>
              <w:drawing>
                <wp:inline distT="0" distB="0" distL="114300" distR="114300">
                  <wp:extent cx="1900555" cy="2297430"/>
                  <wp:effectExtent l="0" t="0" r="4445" b="7620"/>
                  <wp:docPr id="24" name="图片 24" descr="31e0d1747fbb7d71316e99d33c0c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1e0d1747fbb7d71316e99d33c0ccb3"/>
                          <pic:cNvPicPr>
                            <a:picLocks noChangeAspect="1"/>
                          </pic:cNvPicPr>
                        </pic:nvPicPr>
                        <pic:blipFill>
                          <a:blip r:embed="rId14"/>
                          <a:srcRect l="61397" b="37794"/>
                          <a:stretch>
                            <a:fillRect/>
                          </a:stretch>
                        </pic:blipFill>
                        <pic:spPr>
                          <a:xfrm>
                            <a:off x="0" y="0"/>
                            <a:ext cx="1900555" cy="2297430"/>
                          </a:xfrm>
                          <a:prstGeom prst="rect">
                            <a:avLst/>
                          </a:prstGeom>
                        </pic:spPr>
                      </pic:pic>
                    </a:graphicData>
                  </a:graphic>
                </wp:inline>
              </w:drawing>
            </w:r>
            <w:r>
              <w:rPr>
                <w:rFonts w:hint="default" w:ascii="宋体" w:hAnsi="宋体" w:eastAsia="宋体" w:cs="宋体"/>
                <w:color w:val="auto"/>
                <w:sz w:val="21"/>
                <w:szCs w:val="21"/>
                <w:lang w:eastAsia="zh-CN"/>
              </w:rPr>
              <w:drawing>
                <wp:inline distT="0" distB="0" distL="114300" distR="114300">
                  <wp:extent cx="1724025" cy="2301240"/>
                  <wp:effectExtent l="0" t="0" r="9525" b="3810"/>
                  <wp:docPr id="1" name="图片 1" descr="7582be06d794a9afb6ccce17f8a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82be06d794a9afb6ccce17f8a7408"/>
                          <pic:cNvPicPr>
                            <a:picLocks noChangeAspect="1"/>
                          </pic:cNvPicPr>
                        </pic:nvPicPr>
                        <pic:blipFill>
                          <a:blip r:embed="rId15"/>
                          <a:stretch>
                            <a:fillRect/>
                          </a:stretch>
                        </pic:blipFill>
                        <pic:spPr>
                          <a:xfrm>
                            <a:off x="0" y="0"/>
                            <a:ext cx="1724025" cy="2301240"/>
                          </a:xfrm>
                          <a:prstGeom prst="rect">
                            <a:avLst/>
                          </a:prstGeom>
                        </pic:spPr>
                      </pic:pic>
                    </a:graphicData>
                  </a:graphic>
                </wp:inline>
              </w:drawing>
            </w:r>
            <w:r>
              <w:rPr>
                <w:rFonts w:hint="default" w:ascii="宋体" w:hAnsi="宋体" w:eastAsia="宋体" w:cs="宋体"/>
                <w:color w:val="auto"/>
                <w:sz w:val="21"/>
                <w:szCs w:val="21"/>
                <w:lang w:eastAsia="zh-CN"/>
              </w:rPr>
              <w:drawing>
                <wp:inline distT="0" distB="0" distL="114300" distR="114300">
                  <wp:extent cx="1718945" cy="2292350"/>
                  <wp:effectExtent l="0" t="0" r="14605" b="12700"/>
                  <wp:docPr id="15" name="图片 15" descr="6a110044e902382b9a94672d68f7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a110044e902382b9a94672d68f78ca"/>
                          <pic:cNvPicPr>
                            <a:picLocks noChangeAspect="1"/>
                          </pic:cNvPicPr>
                        </pic:nvPicPr>
                        <pic:blipFill>
                          <a:blip r:embed="rId16"/>
                          <a:stretch>
                            <a:fillRect/>
                          </a:stretch>
                        </pic:blipFill>
                        <pic:spPr>
                          <a:xfrm>
                            <a:off x="0" y="0"/>
                            <a:ext cx="1718945" cy="229235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图6-2 废气处理设施及排气筒</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w:t>
            </w:r>
            <w:r>
              <w:rPr>
                <w:rFonts w:hint="default" w:ascii="Times New Roman" w:hAnsi="Times New Roman" w:eastAsia="宋体" w:cs="Times New Roman"/>
                <w:color w:val="auto"/>
                <w:sz w:val="24"/>
                <w:szCs w:val="24"/>
              </w:rPr>
              <w:t>主要来自于</w:t>
            </w:r>
            <w:r>
              <w:rPr>
                <w:rFonts w:hint="eastAsia" w:ascii="Times New Roman" w:hAnsi="Times New Roman" w:eastAsia="宋体" w:cs="Times New Roman"/>
                <w:color w:val="auto"/>
                <w:sz w:val="24"/>
                <w:szCs w:val="24"/>
                <w:lang w:eastAsia="zh-CN"/>
              </w:rPr>
              <w:t>喷砂机、空压机、</w:t>
            </w:r>
            <w:r>
              <w:rPr>
                <w:rFonts w:hint="default" w:ascii="Times New Roman" w:hAnsi="Times New Roman" w:eastAsia="宋体" w:cs="Times New Roman"/>
                <w:color w:val="auto"/>
                <w:sz w:val="24"/>
                <w:szCs w:val="24"/>
                <w:lang w:eastAsia="zh-CN"/>
              </w:rPr>
              <w:t>风机等设备</w:t>
            </w:r>
            <w:r>
              <w:rPr>
                <w:rFonts w:hint="default" w:ascii="Times New Roman" w:hAnsi="Times New Roman" w:eastAsia="宋体" w:cs="Times New Roman"/>
                <w:bCs/>
                <w:snapToGrid w:val="0"/>
                <w:color w:val="auto"/>
                <w:kern w:val="0"/>
                <w:sz w:val="24"/>
                <w:szCs w:val="24"/>
              </w:rPr>
              <w:t>运</w:t>
            </w:r>
            <w:r>
              <w:rPr>
                <w:rFonts w:hint="default" w:ascii="Times New Roman" w:hAnsi="Times New Roman" w:eastAsia="宋体" w:cs="Times New Roman"/>
                <w:bCs/>
                <w:snapToGrid w:val="0"/>
                <w:color w:val="auto"/>
                <w:kern w:val="0"/>
                <w:sz w:val="24"/>
              </w:rPr>
              <w:t>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。一般固废有废包装袋、布袋收集的粉尘、废离子交换树脂，</w:t>
            </w:r>
            <w:r>
              <w:rPr>
                <w:rFonts w:hint="default" w:ascii="Times New Roman" w:hAnsi="Times New Roman" w:eastAsia="宋体" w:cs="Times New Roman"/>
                <w:b w:val="0"/>
                <w:bCs w:val="0"/>
                <w:color w:val="auto"/>
                <w:sz w:val="24"/>
                <w:szCs w:val="24"/>
                <w:lang w:eastAsia="zh-CN"/>
              </w:rPr>
              <w:t>暂存</w:t>
            </w:r>
            <w:r>
              <w:rPr>
                <w:rFonts w:hint="eastAsia" w:ascii="Times New Roman" w:hAnsi="Times New Roman" w:eastAsia="宋体" w:cs="Times New Roman"/>
                <w:b w:val="0"/>
                <w:bCs w:val="0"/>
                <w:color w:val="auto"/>
                <w:sz w:val="24"/>
                <w:szCs w:val="24"/>
                <w:lang w:eastAsia="zh-CN"/>
              </w:rPr>
              <w:t>后由物资公司回收</w:t>
            </w:r>
            <w:r>
              <w:rPr>
                <w:rFonts w:hint="eastAsia" w:ascii="Times New Roman" w:hAnsi="Times New Roman" w:eastAsia="宋体" w:cs="Times New Roman"/>
                <w:b w:val="0"/>
                <w:bCs w:val="0"/>
                <w:color w:val="auto"/>
                <w:sz w:val="24"/>
                <w:lang w:eastAsia="zh-CN"/>
              </w:rPr>
              <w:t>，建设一般工业固废暂存区域，位于污水处理站东侧，面积50m</w:t>
            </w:r>
            <w:r>
              <w:rPr>
                <w:rFonts w:hint="eastAsia" w:ascii="Times New Roman" w:hAnsi="Times New Roman" w:eastAsia="宋体" w:cs="Times New Roman"/>
                <w:b w:val="0"/>
                <w:bCs w:val="0"/>
                <w:color w:val="auto"/>
                <w:sz w:val="24"/>
                <w:vertAlign w:val="superscript"/>
                <w:lang w:eastAsia="zh-CN"/>
              </w:rPr>
              <w:t>2</w:t>
            </w:r>
            <w:r>
              <w:rPr>
                <w:rFonts w:hint="eastAsia" w:ascii="Times New Roman" w:hAnsi="Times New Roman" w:eastAsia="宋体" w:cs="Times New Roman"/>
                <w:b w:val="0"/>
                <w:bCs w:val="0"/>
                <w:color w:val="auto"/>
                <w:sz w:val="24"/>
                <w:lang w:eastAsia="zh-CN"/>
              </w:rPr>
              <w:t>。项目建设一间危废库，位于污水处理站旁，面积100m</w:t>
            </w:r>
            <w:r>
              <w:rPr>
                <w:rFonts w:hint="eastAsia" w:ascii="Times New Roman" w:hAnsi="Times New Roman" w:eastAsia="宋体" w:cs="Times New Roman"/>
                <w:b w:val="0"/>
                <w:bCs w:val="0"/>
                <w:color w:val="auto"/>
                <w:sz w:val="24"/>
                <w:vertAlign w:val="superscript"/>
                <w:lang w:eastAsia="zh-CN"/>
              </w:rPr>
              <w:t>2</w:t>
            </w:r>
            <w:r>
              <w:rPr>
                <w:rFonts w:hint="eastAsia" w:ascii="Times New Roman" w:hAnsi="Times New Roman" w:eastAsia="宋体" w:cs="Times New Roman"/>
                <w:b w:val="0"/>
                <w:bCs w:val="0"/>
                <w:color w:val="auto"/>
                <w:sz w:val="24"/>
                <w:lang w:eastAsia="zh-CN"/>
              </w:rPr>
              <w:t>。危险废物有污水处理站污泥、废过滤芯、阳极槽废液、槽渣、废活性炭、废酸碱包装桶，暂存于危废库中，</w:t>
            </w:r>
            <w:r>
              <w:rPr>
                <w:rFonts w:hint="eastAsia" w:ascii="Times New Roman" w:hAnsi="Times New Roman" w:eastAsia="宋体" w:cs="Times New Roman"/>
                <w:b w:val="0"/>
                <w:bCs w:val="0"/>
                <w:color w:val="auto"/>
                <w:sz w:val="24"/>
                <w:szCs w:val="24"/>
                <w:lang w:eastAsia="zh-CN"/>
              </w:rPr>
              <w:t>公司已与宁国海螺环保科技有限责任公司签订危废处置协议，收集后交其处置。</w:t>
            </w:r>
            <w:r>
              <w:rPr>
                <w:rFonts w:hint="eastAsia" w:ascii="Times New Roman" w:hAnsi="Times New Roman" w:eastAsia="宋体" w:cs="Times New Roman"/>
                <w:b w:val="0"/>
                <w:bCs w:val="0"/>
                <w:color w:val="auto"/>
                <w:sz w:val="24"/>
                <w:lang w:eastAsia="zh-CN"/>
              </w:rPr>
              <w:t>生活垃圾收集后由环卫部门清运。活性炭碘值、充装量满足环境管理相关要求，活性炭更换周期为半年更换一次。</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项目固体废物产生及处理情况表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799"/>
              <w:gridCol w:w="1888"/>
              <w:gridCol w:w="1209"/>
              <w:gridCol w:w="1590"/>
              <w:gridCol w:w="15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03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1084"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固废代码</w:t>
                  </w:r>
                  <w:r>
                    <w:rPr>
                      <w:rFonts w:hint="eastAsia" w:eastAsia="宋体" w:cs="Times New Roman"/>
                      <w:sz w:val="21"/>
                      <w:szCs w:val="21"/>
                      <w:lang w:val="en-US" w:eastAsia="zh-CN"/>
                    </w:rPr>
                    <w:t>/</w:t>
                  </w:r>
                  <w:r>
                    <w:rPr>
                      <w:rFonts w:hint="eastAsia" w:eastAsia="宋体" w:cs="Times New Roman"/>
                      <w:sz w:val="21"/>
                      <w:szCs w:val="21"/>
                      <w:lang w:eastAsia="zh-CN"/>
                    </w:rPr>
                    <w:t>危废代码</w:t>
                  </w:r>
                </w:p>
              </w:tc>
              <w:tc>
                <w:tcPr>
                  <w:tcW w:w="6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环评</w:t>
                  </w: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实际发生量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eastAsia="zh-CN"/>
                    </w:rPr>
                    <w:t>）</w:t>
                  </w:r>
                </w:p>
              </w:tc>
              <w:tc>
                <w:tcPr>
                  <w:tcW w:w="9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03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收集粉尘</w:t>
                  </w:r>
                </w:p>
              </w:tc>
              <w:tc>
                <w:tcPr>
                  <w:tcW w:w="10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398</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-0001</w:t>
                  </w:r>
                </w:p>
              </w:tc>
              <w:tc>
                <w:tcPr>
                  <w:tcW w:w="694" w:type="pct"/>
                  <w:tcBorders>
                    <w:tl2br w:val="nil"/>
                    <w:tr2bl w:val="nil"/>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77</w:t>
                  </w:r>
                </w:p>
              </w:tc>
              <w:tc>
                <w:tcPr>
                  <w:tcW w:w="913" w:type="pct"/>
                  <w:tcBorders>
                    <w:tl2br w:val="nil"/>
                    <w:tr2bl w:val="nil"/>
                  </w:tcBorders>
                  <w:vAlign w:val="center"/>
                </w:tcPr>
                <w:p>
                  <w:pPr>
                    <w:pStyle w:val="34"/>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收集后由物资公司回收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rPr>
                    <w:t>2</w:t>
                  </w:r>
                </w:p>
              </w:tc>
              <w:tc>
                <w:tcPr>
                  <w:tcW w:w="103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zh-CN"/>
                    </w:rPr>
                  </w:pPr>
                  <w:r>
                    <w:rPr>
                      <w:rFonts w:hint="eastAsia" w:ascii="Times New Roman" w:hAnsi="Times New Roman"/>
                      <w:color w:val="auto"/>
                      <w:sz w:val="21"/>
                      <w:szCs w:val="21"/>
                    </w:rPr>
                    <w:t>废包装材料</w:t>
                  </w:r>
                </w:p>
              </w:tc>
              <w:tc>
                <w:tcPr>
                  <w:tcW w:w="10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s="Times New Roman" w:asciiTheme="minorHAnsi" w:hAnsiTheme="minorHAnsi"/>
                      <w:kern w:val="2"/>
                      <w:sz w:val="21"/>
                      <w:szCs w:val="21"/>
                      <w:lang w:val="en-US" w:eastAsia="zh-CN" w:bidi="ar-SA"/>
                    </w:rPr>
                  </w:pPr>
                  <w:r>
                    <w:rPr>
                      <w:rFonts w:hint="eastAsia" w:ascii="Times New Roman" w:hAnsi="Times New Roman" w:eastAsia="宋体" w:cs="Times New Roman"/>
                      <w:color w:val="auto"/>
                      <w:sz w:val="21"/>
                      <w:szCs w:val="21"/>
                      <w:lang w:val="en-US" w:eastAsia="zh-CN"/>
                    </w:rPr>
                    <w:t>398</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-0002</w:t>
                  </w:r>
                </w:p>
              </w:tc>
              <w:tc>
                <w:tcPr>
                  <w:tcW w:w="694" w:type="pct"/>
                  <w:tcBorders>
                    <w:tl2br w:val="nil"/>
                    <w:tr2bl w:val="nil"/>
                  </w:tcBorders>
                  <w:vAlign w:val="center"/>
                </w:tcPr>
                <w:p>
                  <w:pPr>
                    <w:pStyle w:val="34"/>
                    <w:snapToGrid w:val="0"/>
                    <w:rPr>
                      <w:rFonts w:hint="eastAsia" w:ascii="Times New Roman" w:hAnsi="Times New Roman" w:eastAsia="宋体" w:cs="Times New Roman"/>
                      <w:kern w:val="24"/>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913" w:type="pct"/>
                  <w:tcBorders>
                    <w:tl2br w:val="nil"/>
                    <w:tr2bl w:val="nil"/>
                  </w:tcBorders>
                  <w:vAlign w:val="center"/>
                </w:tcPr>
                <w:p>
                  <w:pPr>
                    <w:pStyle w:val="34"/>
                    <w:snapToGrid w:val="0"/>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0.5</w:t>
                  </w:r>
                </w:p>
              </w:tc>
              <w:tc>
                <w:tcPr>
                  <w:tcW w:w="9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kern w:val="2"/>
                      <w:sz w:val="21"/>
                      <w:szCs w:val="21"/>
                      <w:lang w:val="en-US" w:eastAsia="zh-CN" w:bidi="zh-CN"/>
                    </w:rPr>
                    <w:t>3</w:t>
                  </w:r>
                </w:p>
              </w:tc>
              <w:tc>
                <w:tcPr>
                  <w:tcW w:w="103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kern w:val="2"/>
                      <w:sz w:val="21"/>
                      <w:szCs w:val="21"/>
                      <w:lang w:val="en-US" w:eastAsia="zh-CN" w:bidi="zh-CN"/>
                    </w:rPr>
                    <w:t>废离子交换树脂</w:t>
                  </w:r>
                </w:p>
              </w:tc>
              <w:tc>
                <w:tcPr>
                  <w:tcW w:w="10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398</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-0003</w:t>
                  </w:r>
                </w:p>
              </w:tc>
              <w:tc>
                <w:tcPr>
                  <w:tcW w:w="694" w:type="pct"/>
                  <w:tcBorders>
                    <w:tl2br w:val="nil"/>
                    <w:tr2bl w:val="nil"/>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913" w:type="pct"/>
                  <w:tcBorders>
                    <w:tl2br w:val="nil"/>
                    <w:tr2bl w:val="nil"/>
                  </w:tcBorders>
                  <w:vAlign w:val="center"/>
                </w:tcPr>
                <w:p>
                  <w:pPr>
                    <w:pStyle w:val="34"/>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9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4</w:t>
                  </w:r>
                </w:p>
              </w:tc>
              <w:tc>
                <w:tcPr>
                  <w:tcW w:w="1033" w:type="pct"/>
                  <w:tcBorders>
                    <w:tl2br w:val="nil"/>
                    <w:tr2bl w:val="nil"/>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污水处理站污泥</w:t>
                  </w:r>
                </w:p>
              </w:tc>
              <w:tc>
                <w:tcPr>
                  <w:tcW w:w="1084" w:type="pct"/>
                  <w:tcBorders>
                    <w:tl2br w:val="nil"/>
                    <w:tr2bl w:val="nil"/>
                  </w:tcBorders>
                  <w:vAlign w:val="center"/>
                </w:tcPr>
                <w:p>
                  <w:pPr>
                    <w:pStyle w:val="34"/>
                    <w:snapToGrid w:val="0"/>
                    <w:rPr>
                      <w:rFonts w:hint="eastAsia" w:eastAsia="宋体" w:cs="Times New Roman"/>
                      <w:sz w:val="21"/>
                      <w:szCs w:val="21"/>
                      <w:lang w:eastAsia="zh-CN"/>
                    </w:rPr>
                  </w:pPr>
                  <w:r>
                    <w:rPr>
                      <w:rFonts w:ascii="Times New Roman" w:hAnsi="Times New Roman"/>
                      <w:color w:val="auto"/>
                      <w:sz w:val="21"/>
                      <w:szCs w:val="21"/>
                    </w:rPr>
                    <w:t>HW</w:t>
                  </w:r>
                  <w:r>
                    <w:rPr>
                      <w:rFonts w:hint="eastAsia" w:ascii="Times New Roman" w:hAnsi="Times New Roman"/>
                      <w:color w:val="auto"/>
                      <w:sz w:val="21"/>
                      <w:szCs w:val="21"/>
                      <w:lang w:val="en-US" w:eastAsia="zh-CN"/>
                    </w:rPr>
                    <w:t xml:space="preserve">08 </w:t>
                  </w:r>
                  <w:r>
                    <w:rPr>
                      <w:rFonts w:hint="eastAsia" w:ascii="Times New Roman" w:hAnsi="Times New Roman"/>
                      <w:color w:val="auto"/>
                      <w:sz w:val="21"/>
                      <w:szCs w:val="21"/>
                    </w:rPr>
                    <w:t>900-210-08</w:t>
                  </w:r>
                </w:p>
              </w:tc>
              <w:tc>
                <w:tcPr>
                  <w:tcW w:w="694" w:type="pct"/>
                  <w:tcBorders>
                    <w:tl2br w:val="nil"/>
                    <w:tr2bl w:val="nil"/>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16.04</w:t>
                  </w:r>
                </w:p>
              </w:tc>
              <w:tc>
                <w:tcPr>
                  <w:tcW w:w="913" w:type="pct"/>
                  <w:tcBorders>
                    <w:tl2br w:val="nil"/>
                    <w:tr2bl w:val="nil"/>
                  </w:tcBorders>
                  <w:vAlign w:val="center"/>
                </w:tcPr>
                <w:p>
                  <w:pPr>
                    <w:pStyle w:val="34"/>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9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委托宁国海螺环保科技有限责任公司处置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5</w:t>
                  </w:r>
                </w:p>
              </w:tc>
              <w:tc>
                <w:tcPr>
                  <w:tcW w:w="1033" w:type="pct"/>
                  <w:tcBorders>
                    <w:tl2br w:val="nil"/>
                    <w:tr2bl w:val="nil"/>
                  </w:tcBorders>
                  <w:vAlign w:val="center"/>
                </w:tcPr>
                <w:p>
                  <w:pPr>
                    <w:pStyle w:val="34"/>
                    <w:snapToGrid w:val="0"/>
                    <w:rPr>
                      <w:rFonts w:hint="eastAsia" w:ascii="Times New Roman" w:hAnsi="Times New Roman" w:eastAsiaTheme="minorEastAsia"/>
                      <w:color w:val="auto"/>
                      <w:sz w:val="21"/>
                      <w:szCs w:val="21"/>
                      <w:lang w:eastAsia="zh-CN"/>
                    </w:rPr>
                  </w:pPr>
                  <w:r>
                    <w:rPr>
                      <w:rFonts w:hint="eastAsia" w:ascii="Times New Roman" w:hAnsi="Times New Roman"/>
                      <w:color w:val="auto"/>
                      <w:sz w:val="21"/>
                      <w:szCs w:val="21"/>
                      <w:lang w:eastAsia="zh-CN"/>
                    </w:rPr>
                    <w:t>废过滤芯</w:t>
                  </w:r>
                </w:p>
              </w:tc>
              <w:tc>
                <w:tcPr>
                  <w:tcW w:w="1084" w:type="pct"/>
                  <w:tcBorders>
                    <w:tl2br w:val="nil"/>
                    <w:tr2bl w:val="nil"/>
                  </w:tcBorders>
                  <w:vAlign w:val="center"/>
                </w:tcPr>
                <w:p>
                  <w:pPr>
                    <w:pStyle w:val="34"/>
                    <w:snapToGrid w:val="0"/>
                    <w:rPr>
                      <w:rFonts w:ascii="Times New Roman" w:hAnsi="Times New Roman"/>
                      <w:color w:val="auto"/>
                      <w:sz w:val="21"/>
                      <w:szCs w:val="21"/>
                    </w:rPr>
                  </w:pPr>
                  <w:r>
                    <w:rPr>
                      <w:rFonts w:hint="eastAsia" w:ascii="Times New Roman" w:hAnsi="Times New Roman"/>
                      <w:color w:val="auto"/>
                      <w:sz w:val="21"/>
                      <w:szCs w:val="21"/>
                      <w:lang w:val="en-US" w:eastAsia="zh-CN"/>
                    </w:rPr>
                    <w:t xml:space="preserve">HW49 </w:t>
                  </w:r>
                  <w:r>
                    <w:rPr>
                      <w:rFonts w:hint="eastAsia" w:ascii="Times New Roman" w:hAnsi="Times New Roman"/>
                      <w:color w:val="auto"/>
                      <w:sz w:val="21"/>
                      <w:szCs w:val="21"/>
                    </w:rPr>
                    <w:t>900-0</w:t>
                  </w:r>
                  <w:r>
                    <w:rPr>
                      <w:rFonts w:hint="eastAsia" w:ascii="Times New Roman" w:hAnsi="Times New Roman"/>
                      <w:color w:val="auto"/>
                      <w:sz w:val="21"/>
                      <w:szCs w:val="21"/>
                      <w:lang w:val="en-US" w:eastAsia="zh-CN"/>
                    </w:rPr>
                    <w:t>41</w:t>
                  </w:r>
                  <w:r>
                    <w:rPr>
                      <w:rFonts w:hint="eastAsia" w:ascii="Times New Roman" w:hAnsi="Times New Roman"/>
                      <w:color w:val="auto"/>
                      <w:sz w:val="21"/>
                      <w:szCs w:val="21"/>
                    </w:rPr>
                    <w:t>-49</w:t>
                  </w:r>
                </w:p>
              </w:tc>
              <w:tc>
                <w:tcPr>
                  <w:tcW w:w="694" w:type="pct"/>
                  <w:tcBorders>
                    <w:tl2br w:val="nil"/>
                    <w:tr2bl w:val="nil"/>
                  </w:tcBorders>
                  <w:vAlign w:val="center"/>
                </w:tcPr>
                <w:p>
                  <w:pPr>
                    <w:pStyle w:val="34"/>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w:t>
                  </w:r>
                </w:p>
              </w:tc>
              <w:tc>
                <w:tcPr>
                  <w:tcW w:w="913" w:type="pct"/>
                  <w:tcBorders>
                    <w:tl2br w:val="nil"/>
                    <w:tr2bl w:val="nil"/>
                  </w:tcBorders>
                  <w:vAlign w:val="center"/>
                </w:tcPr>
                <w:p>
                  <w:pPr>
                    <w:pStyle w:val="34"/>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未发生</w:t>
                  </w:r>
                </w:p>
              </w:tc>
              <w:tc>
                <w:tcPr>
                  <w:tcW w:w="9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6</w:t>
                  </w:r>
                </w:p>
              </w:tc>
              <w:tc>
                <w:tcPr>
                  <w:tcW w:w="1033" w:type="pct"/>
                  <w:tcBorders>
                    <w:tl2br w:val="nil"/>
                    <w:tr2bl w:val="nil"/>
                  </w:tcBorders>
                  <w:vAlign w:val="center"/>
                </w:tcPr>
                <w:p>
                  <w:pPr>
                    <w:pStyle w:val="34"/>
                    <w:snapToGrid w:val="0"/>
                    <w:rPr>
                      <w:rFonts w:hint="eastAsia" w:ascii="Times New Roman" w:hAnsi="Times New Roman"/>
                      <w:color w:val="auto"/>
                      <w:sz w:val="21"/>
                      <w:szCs w:val="21"/>
                    </w:rPr>
                  </w:pPr>
                  <w:r>
                    <w:rPr>
                      <w:rFonts w:hint="eastAsia" w:ascii="Times New Roman" w:hAnsi="Times New Roman"/>
                      <w:color w:val="auto"/>
                      <w:sz w:val="21"/>
                      <w:szCs w:val="21"/>
                    </w:rPr>
                    <w:t>阳极槽废液、槽渣</w:t>
                  </w:r>
                </w:p>
              </w:tc>
              <w:tc>
                <w:tcPr>
                  <w:tcW w:w="1084" w:type="pct"/>
                  <w:tcBorders>
                    <w:tl2br w:val="nil"/>
                    <w:tr2bl w:val="nil"/>
                  </w:tcBorders>
                  <w:vAlign w:val="center"/>
                </w:tcPr>
                <w:p>
                  <w:pPr>
                    <w:pStyle w:val="34"/>
                    <w:snapToGrid w:val="0"/>
                    <w:rPr>
                      <w:rFonts w:ascii="Times New Roman" w:hAnsi="Times New Roman"/>
                      <w:color w:val="auto"/>
                      <w:sz w:val="21"/>
                      <w:szCs w:val="21"/>
                    </w:rPr>
                  </w:pPr>
                  <w:r>
                    <w:rPr>
                      <w:rFonts w:hint="eastAsia" w:ascii="Times New Roman" w:hAnsi="Times New Roman"/>
                      <w:color w:val="auto"/>
                      <w:sz w:val="21"/>
                      <w:szCs w:val="21"/>
                      <w:lang w:val="en-US" w:eastAsia="zh-CN"/>
                    </w:rPr>
                    <w:t xml:space="preserve">HW17 </w:t>
                  </w:r>
                  <w:r>
                    <w:rPr>
                      <w:rFonts w:hint="eastAsia" w:ascii="Times New Roman" w:hAnsi="Times New Roman"/>
                      <w:color w:val="auto"/>
                      <w:sz w:val="21"/>
                      <w:szCs w:val="21"/>
                    </w:rPr>
                    <w:t>336-064-17</w:t>
                  </w:r>
                </w:p>
              </w:tc>
              <w:tc>
                <w:tcPr>
                  <w:tcW w:w="694" w:type="pct"/>
                  <w:tcBorders>
                    <w:tl2br w:val="nil"/>
                    <w:tr2bl w:val="nil"/>
                  </w:tcBorders>
                  <w:vAlign w:val="center"/>
                </w:tcPr>
                <w:p>
                  <w:pPr>
                    <w:pStyle w:val="34"/>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15.3</w:t>
                  </w:r>
                </w:p>
              </w:tc>
              <w:tc>
                <w:tcPr>
                  <w:tcW w:w="913" w:type="pct"/>
                  <w:tcBorders>
                    <w:tl2br w:val="nil"/>
                    <w:tr2bl w:val="nil"/>
                  </w:tcBorders>
                  <w:vAlign w:val="center"/>
                </w:tcPr>
                <w:p>
                  <w:pPr>
                    <w:pStyle w:val="34"/>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w:t>
                  </w:r>
                </w:p>
              </w:tc>
              <w:tc>
                <w:tcPr>
                  <w:tcW w:w="9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7</w:t>
                  </w:r>
                </w:p>
              </w:tc>
              <w:tc>
                <w:tcPr>
                  <w:tcW w:w="1033" w:type="pct"/>
                  <w:tcBorders>
                    <w:tl2br w:val="nil"/>
                    <w:tr2bl w:val="nil"/>
                  </w:tcBorders>
                  <w:vAlign w:val="center"/>
                </w:tcPr>
                <w:p>
                  <w:pPr>
                    <w:pStyle w:val="34"/>
                    <w:snapToGrid w:val="0"/>
                    <w:rPr>
                      <w:rFonts w:hint="eastAsia" w:ascii="Times New Roman" w:hAnsi="Times New Roman"/>
                      <w:color w:val="auto"/>
                      <w:sz w:val="21"/>
                      <w:szCs w:val="21"/>
                    </w:rPr>
                  </w:pPr>
                  <w:r>
                    <w:rPr>
                      <w:rFonts w:hint="eastAsia" w:ascii="Times New Roman" w:hAnsi="Times New Roman"/>
                      <w:color w:val="auto"/>
                      <w:sz w:val="21"/>
                      <w:szCs w:val="21"/>
                    </w:rPr>
                    <w:t>废活性炭</w:t>
                  </w:r>
                </w:p>
              </w:tc>
              <w:tc>
                <w:tcPr>
                  <w:tcW w:w="1084" w:type="pct"/>
                  <w:tcBorders>
                    <w:tl2br w:val="nil"/>
                    <w:tr2bl w:val="nil"/>
                  </w:tcBorders>
                  <w:vAlign w:val="center"/>
                </w:tcPr>
                <w:p>
                  <w:pPr>
                    <w:pStyle w:val="34"/>
                    <w:snapToGrid w:val="0"/>
                    <w:rPr>
                      <w:rFonts w:ascii="Times New Roman" w:hAnsi="Times New Roman"/>
                      <w:color w:val="auto"/>
                      <w:sz w:val="21"/>
                      <w:szCs w:val="21"/>
                    </w:rPr>
                  </w:pPr>
                  <w:r>
                    <w:rPr>
                      <w:rFonts w:hint="eastAsia" w:ascii="Times New Roman" w:hAnsi="Times New Roman"/>
                      <w:color w:val="auto"/>
                      <w:sz w:val="21"/>
                      <w:szCs w:val="21"/>
                      <w:lang w:val="en-US" w:eastAsia="zh-CN"/>
                    </w:rPr>
                    <w:t xml:space="preserve">HW49 </w:t>
                  </w:r>
                  <w:r>
                    <w:rPr>
                      <w:rFonts w:hint="eastAsia" w:ascii="Times New Roman" w:hAnsi="Times New Roman"/>
                      <w:color w:val="auto"/>
                      <w:sz w:val="21"/>
                      <w:szCs w:val="21"/>
                    </w:rPr>
                    <w:t>900-039-49</w:t>
                  </w:r>
                </w:p>
              </w:tc>
              <w:tc>
                <w:tcPr>
                  <w:tcW w:w="694" w:type="pct"/>
                  <w:tcBorders>
                    <w:tl2br w:val="nil"/>
                    <w:tr2bl w:val="nil"/>
                  </w:tcBorders>
                  <w:vAlign w:val="center"/>
                </w:tcPr>
                <w:p>
                  <w:pPr>
                    <w:pStyle w:val="34"/>
                    <w:snapToGrid w:val="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75.62</w:t>
                  </w:r>
                </w:p>
              </w:tc>
              <w:tc>
                <w:tcPr>
                  <w:tcW w:w="913" w:type="pct"/>
                  <w:tcBorders>
                    <w:tl2br w:val="nil"/>
                    <w:tr2bl w:val="nil"/>
                  </w:tcBorders>
                  <w:vAlign w:val="center"/>
                </w:tcPr>
                <w:p>
                  <w:pPr>
                    <w:pStyle w:val="34"/>
                    <w:snapToGrid w:val="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未发生</w:t>
                  </w:r>
                </w:p>
              </w:tc>
              <w:tc>
                <w:tcPr>
                  <w:tcW w:w="9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8</w:t>
                  </w:r>
                </w:p>
              </w:tc>
              <w:tc>
                <w:tcPr>
                  <w:tcW w:w="1033" w:type="pct"/>
                  <w:tcBorders>
                    <w:tl2br w:val="nil"/>
                    <w:tr2bl w:val="nil"/>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color w:val="auto"/>
                      <w:sz w:val="21"/>
                      <w:szCs w:val="21"/>
                    </w:rPr>
                    <w:t>废酸碱包装桶</w:t>
                  </w:r>
                </w:p>
              </w:tc>
              <w:tc>
                <w:tcPr>
                  <w:tcW w:w="1084" w:type="pct"/>
                  <w:tcBorders>
                    <w:tl2br w:val="nil"/>
                    <w:tr2bl w:val="nil"/>
                  </w:tcBorders>
                  <w:vAlign w:val="center"/>
                </w:tcPr>
                <w:p>
                  <w:pPr>
                    <w:pStyle w:val="34"/>
                    <w:snapToGrid w:val="0"/>
                    <w:rPr>
                      <w:rFonts w:hint="eastAsia" w:eastAsia="宋体" w:cs="Times New Roman"/>
                      <w:sz w:val="21"/>
                      <w:szCs w:val="21"/>
                      <w:lang w:eastAsia="zh-CN"/>
                    </w:rPr>
                  </w:pPr>
                  <w:r>
                    <w:rPr>
                      <w:rFonts w:ascii="Times New Roman" w:hAnsi="Times New Roman"/>
                      <w:color w:val="auto"/>
                      <w:sz w:val="21"/>
                      <w:szCs w:val="21"/>
                    </w:rPr>
                    <w:t>HW</w:t>
                  </w:r>
                  <w:r>
                    <w:rPr>
                      <w:rFonts w:hint="eastAsia" w:ascii="Times New Roman" w:hAnsi="Times New Roman"/>
                      <w:color w:val="auto"/>
                      <w:sz w:val="21"/>
                      <w:szCs w:val="21"/>
                      <w:lang w:val="en-US" w:eastAsia="zh-CN"/>
                    </w:rPr>
                    <w:t xml:space="preserve">49 </w:t>
                  </w:r>
                  <w:r>
                    <w:rPr>
                      <w:rFonts w:hint="eastAsia" w:ascii="Times New Roman" w:hAnsi="Times New Roman"/>
                      <w:color w:val="auto"/>
                      <w:sz w:val="21"/>
                      <w:szCs w:val="21"/>
                    </w:rPr>
                    <w:t>900-041-49</w:t>
                  </w:r>
                </w:p>
              </w:tc>
              <w:tc>
                <w:tcPr>
                  <w:tcW w:w="694" w:type="pct"/>
                  <w:tcBorders>
                    <w:tl2br w:val="nil"/>
                    <w:tr2bl w:val="nil"/>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913" w:type="pct"/>
                  <w:tcBorders>
                    <w:tl2br w:val="nil"/>
                    <w:tr2bl w:val="nil"/>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0.1</w:t>
                  </w:r>
                </w:p>
              </w:tc>
              <w:tc>
                <w:tcPr>
                  <w:tcW w:w="9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03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1084" w:type="pc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6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9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115185" cy="2345690"/>
                  <wp:effectExtent l="0" t="0" r="18415" b="16510"/>
                  <wp:docPr id="22" name="图片 22" descr="面积100平米危废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积100平米危废库"/>
                          <pic:cNvPicPr>
                            <a:picLocks noChangeAspect="1"/>
                          </pic:cNvPicPr>
                        </pic:nvPicPr>
                        <pic:blipFill>
                          <a:blip r:embed="rId17"/>
                          <a:stretch>
                            <a:fillRect/>
                          </a:stretch>
                        </pic:blipFill>
                        <pic:spPr>
                          <a:xfrm>
                            <a:off x="0" y="0"/>
                            <a:ext cx="2115185" cy="2345690"/>
                          </a:xfrm>
                          <a:prstGeom prst="rect">
                            <a:avLst/>
                          </a:prstGeom>
                        </pic:spPr>
                      </pic:pic>
                    </a:graphicData>
                  </a:graphic>
                </wp:inline>
              </w:drawing>
            </w:r>
            <w:r>
              <w:rPr>
                <w:rFonts w:hint="eastAsia" w:eastAsiaTheme="minorEastAsia"/>
                <w:sz w:val="24"/>
                <w:szCs w:val="24"/>
                <w:lang w:eastAsia="zh-CN"/>
              </w:rPr>
              <w:drawing>
                <wp:inline distT="0" distB="0" distL="114300" distR="114300">
                  <wp:extent cx="3142615" cy="2355850"/>
                  <wp:effectExtent l="0" t="0" r="635" b="6350"/>
                  <wp:docPr id="29" name="图片 29" descr="危废库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危废库内部"/>
                          <pic:cNvPicPr>
                            <a:picLocks noChangeAspect="1"/>
                          </pic:cNvPicPr>
                        </pic:nvPicPr>
                        <pic:blipFill>
                          <a:blip r:embed="rId18"/>
                          <a:stretch>
                            <a:fillRect/>
                          </a:stretch>
                        </pic:blipFill>
                        <pic:spPr>
                          <a:xfrm>
                            <a:off x="0" y="0"/>
                            <a:ext cx="3142615" cy="2355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图6-3 危废库</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5、环境风险防范措施</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本项目新建1座容积为400m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的事故应急池，位于污水处理站东侧。</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097655" cy="3074670"/>
                  <wp:effectExtent l="0" t="0" r="17145" b="11430"/>
                  <wp:docPr id="8" name="图片 8" descr="d6f3e3e6d728f44ab38c86680a85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6f3e3e6d728f44ab38c86680a8564c"/>
                          <pic:cNvPicPr>
                            <a:picLocks noChangeAspect="1"/>
                          </pic:cNvPicPr>
                        </pic:nvPicPr>
                        <pic:blipFill>
                          <a:blip r:embed="rId19"/>
                          <a:stretch>
                            <a:fillRect/>
                          </a:stretch>
                        </pic:blipFill>
                        <pic:spPr>
                          <a:xfrm>
                            <a:off x="0" y="0"/>
                            <a:ext cx="4097655" cy="3074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ascii="Times New Roman" w:hAnsi="Times New Roman" w:cs="Times New Roman"/>
                <w:b/>
                <w:bCs/>
                <w:sz w:val="21"/>
                <w:szCs w:val="21"/>
                <w:lang w:val="en-US" w:eastAsia="zh-CN"/>
              </w:rPr>
              <w:t>图6-4 事故应急池</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6、环保设施投资及三同时一览表</w:t>
            </w:r>
          </w:p>
          <w:p>
            <w:pPr>
              <w:spacing w:line="36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表6-3 </w:t>
            </w:r>
            <w:r>
              <w:rPr>
                <w:rFonts w:hint="default" w:ascii="Times New Roman" w:hAnsi="Times New Roman" w:cs="Times New Roman"/>
                <w:b/>
                <w:bCs/>
                <w:sz w:val="21"/>
                <w:szCs w:val="21"/>
                <w:lang w:val="en-US" w:eastAsia="zh-CN"/>
              </w:rPr>
              <w:t>环保设施投资</w:t>
            </w:r>
            <w:r>
              <w:rPr>
                <w:rFonts w:hint="eastAsia" w:ascii="Times New Roman" w:hAnsi="Times New Roman" w:cs="Times New Roman"/>
                <w:b/>
                <w:bCs/>
                <w:sz w:val="21"/>
                <w:szCs w:val="21"/>
                <w:lang w:val="en-US" w:eastAsia="zh-CN"/>
              </w:rPr>
              <w:t>及三同时</w:t>
            </w:r>
            <w:r>
              <w:rPr>
                <w:rFonts w:hint="default" w:ascii="Times New Roman" w:hAnsi="Times New Roman" w:cs="Times New Roman"/>
                <w:b/>
                <w:bCs/>
                <w:sz w:val="21"/>
                <w:szCs w:val="21"/>
                <w:lang w:val="en-US" w:eastAsia="zh-CN"/>
              </w:rPr>
              <w:t>一览表</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46"/>
              <w:gridCol w:w="302"/>
              <w:gridCol w:w="957"/>
              <w:gridCol w:w="2206"/>
              <w:gridCol w:w="366"/>
              <w:gridCol w:w="4249"/>
              <w:gridCol w:w="3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序号</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治理项目</w:t>
                  </w:r>
                </w:p>
              </w:tc>
              <w:tc>
                <w:tcPr>
                  <w:tcW w:w="0" w:type="auto"/>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环评要求</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实际建设情况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措施内容</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环评估算</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措施内容</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06" w:hRule="atLeast"/>
                <w:jc w:val="center"/>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废气治理</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熔化炉天然气燃烧废气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lang w:eastAsia="zh-CN"/>
                    </w:rPr>
                  </w:pPr>
                  <w:r>
                    <w:rPr>
                      <w:rFonts w:hint="default" w:ascii="Times New Roman" w:hAnsi="Times New Roman" w:cs="Times New Roman"/>
                    </w:rPr>
                    <w:t>通过1根20m高排气筒排放（1#）</w:t>
                  </w:r>
                  <w:r>
                    <w:rPr>
                      <w:rFonts w:hint="eastAsia" w:ascii="Times New Roman" w:hAnsi="Times New Roman" w:cs="Times New Roman"/>
                      <w:lang w:eastAsia="zh-CN"/>
                    </w:rPr>
                    <w:t>。</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180</w:t>
                  </w:r>
                  <w:r>
                    <w:rPr>
                      <w:rFonts w:hint="default" w:ascii="Times New Roman" w:hAnsi="Times New Roman" w:cs="Times New Roman"/>
                      <w:b w:val="0"/>
                      <w:bCs w:val="0"/>
                      <w:sz w:val="21"/>
                      <w:szCs w:val="21"/>
                      <w:lang w:val="en-US" w:eastAsia="zh-CN"/>
                    </w:rPr>
                    <w:t xml:space="preserve"> 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lang w:eastAsia="zh-CN"/>
                    </w:rPr>
                  </w:pPr>
                  <w:r>
                    <w:rPr>
                      <w:rFonts w:hint="eastAsia" w:ascii="Times New Roman" w:hAnsi="Times New Roman" w:cs="Times New Roman"/>
                      <w:lang w:eastAsia="zh-CN"/>
                    </w:rPr>
                    <w:t>未建设</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70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压铸和脱模废气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lang w:eastAsia="zh-CN"/>
                    </w:rPr>
                  </w:pPr>
                  <w:r>
                    <w:rPr>
                      <w:rFonts w:hint="default" w:ascii="Times New Roman" w:hAnsi="Times New Roman" w:cs="Times New Roman"/>
                    </w:rPr>
                    <w:t>布袋除尘器+二级活性炭吸附装置处理后，通过1根20m高排气筒排放（2#）</w:t>
                  </w:r>
                  <w:r>
                    <w:rPr>
                      <w:rFonts w:hint="eastAsia" w:ascii="Times New Roman" w:hAnsi="Times New Roman" w:cs="Times New Roman"/>
                      <w:lang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干式打磨废气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封闭区域+布袋除尘器处理后，通过1根20m高排气筒排放（3#），和抛丸公用一套处理设备</w:t>
                  </w:r>
                  <w:r>
                    <w:rPr>
                      <w:rFonts w:hint="eastAsia" w:ascii="Times New Roman" w:hAnsi="Times New Roman" w:cs="Times New Roman"/>
                      <w:lang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抛丸废气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t>封闭设备+布袋除尘器处理后，通过1根20m高排气筒排放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t>（3#）</w:t>
                  </w:r>
                  <w:r>
                    <w:rPr>
                      <w:rFonts w:hint="eastAsia" w:ascii="Times New Roman" w:hAnsi="Times New Roman" w:cs="Times New Roman"/>
                      <w:lang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rPr>
                    <w:t>喷砂废气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rPr>
                    <w:t>封闭区域+布袋除尘器处理后，通过1根20m高排气筒排放（4#）</w:t>
                  </w:r>
                  <w:r>
                    <w:rPr>
                      <w:rFonts w:hint="eastAsia" w:ascii="Times New Roman" w:hAnsi="Times New Roman" w:cs="Times New Roman"/>
                      <w:lang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rPr>
                    <w:t>喷砂废气经二级布袋除尘器处理后，通过1根20m高排气筒（DA001）排放</w:t>
                  </w:r>
                  <w:r>
                    <w:rPr>
                      <w:rFonts w:hint="eastAsia" w:ascii="Times New Roman" w:hAnsi="Times New Roman" w:cs="Times New Roman"/>
                      <w:lang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激光切割</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lang w:eastAsia="zh-CN"/>
                    </w:rPr>
                  </w:pPr>
                  <w:r>
                    <w:rPr>
                      <w:rFonts w:hint="default" w:ascii="Times New Roman" w:hAnsi="Times New Roman" w:cs="Times New Roman"/>
                    </w:rPr>
                    <w:t>布袋除尘器处理后，通过1根20m高排气筒排放（5#）</w:t>
                  </w:r>
                  <w:r>
                    <w:rPr>
                      <w:rFonts w:hint="eastAsia" w:ascii="Times New Roman" w:hAnsi="Times New Roman" w:cs="Times New Roman"/>
                      <w:lang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丙酮洗、丙酮擦拭废气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丙酮洗采用全密闭+槽边抽风+顶部抽风收集，擦拭采用无尘包装室+集气罩收集后，经两级活性炭处理后，通过1根20m高排气筒排放（6#）。</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lang w:eastAsia="zh-CN"/>
                    </w:rPr>
                    <w:t>丙酮擦拭废气采用无尘室+集气罩收集后，经两级活性炭吸附装置处理后，通过1根20m高排气筒（DA004）排放。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焊接</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设置封闭的焊接区域，通过焊接烟尘净化器处理后，无组织排放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熔射废气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密闭设备+布袋除尘器处理后，通过20m高排气筒排放（7#）</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喷塑粉尘</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全密闭静电喷涂房+负压抽吸+滤筒回收+脉冲除尘器处理后通过20m高排气筒排放（8#）</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喷塑后固化废气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局部密闭+负压抽风+两级活性炭一体机设备处理，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经3#排气筒排放（9#）</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喷漆过程（调漆、喷漆、流平、喷枪清洗）的漆雾及有机废气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经过局部密闭+负压抽风+除雾器+过滤棉+两级活性炭处理后再经过1根20m 高排气筒排放（10#）</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漆膜烘干</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封闭烘干室+两级活性炭处理后，经过20m高排气筒排放（11#）</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未建设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酸洗、硝酸出光、阳极氧化废气</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经过局部密闭+两侧槽边抽风+顶部抽风收集+碱液喷淋塔处理后通过1根20m高排气筒排放（12#）。</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阳极氧化废气产生的硫酸雾、氮氧化物经两侧槽边抽风+顶部抽风收集，通过两套碱液喷淋塔处理后，通过2根20m高排气筒（DA002、DA003）排放。</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废水治理</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生产废水</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污水管网/</w:t>
                  </w:r>
                  <w:r>
                    <w:rPr>
                      <w:rFonts w:hint="default" w:ascii="Times New Roman" w:hAnsi="Times New Roman" w:cs="Times New Roman"/>
                      <w:b w:val="0"/>
                      <w:bCs w:val="0"/>
                      <w:sz w:val="21"/>
                      <w:szCs w:val="21"/>
                      <w:lang w:val="en-US" w:eastAsia="zh-CN"/>
                    </w:rPr>
                    <w:t>厂区污水处理站</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225万元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建设污水处理站一座，设计处理能力150m</w:t>
                  </w:r>
                  <w:r>
                    <w:rPr>
                      <w:rFonts w:hint="eastAsia" w:ascii="Times New Roman" w:hAnsi="Times New Roman" w:cs="Times New Roman"/>
                      <w:b w:val="0"/>
                      <w:bCs w:val="0"/>
                      <w:sz w:val="21"/>
                      <w:szCs w:val="21"/>
                      <w:vertAlign w:val="superscript"/>
                      <w:lang w:val="en-US" w:eastAsia="zh-CN"/>
                    </w:rPr>
                    <w:t>3</w:t>
                  </w:r>
                  <w:r>
                    <w:rPr>
                      <w:rFonts w:hint="eastAsia" w:ascii="Times New Roman" w:hAnsi="Times New Roman" w:cs="Times New Roman"/>
                      <w:b w:val="0"/>
                      <w:bCs w:val="0"/>
                      <w:sz w:val="21"/>
                      <w:szCs w:val="21"/>
                      <w:lang w:val="en-US" w:eastAsia="zh-CN"/>
                    </w:rPr>
                    <w:t>/d。生产废水经污水处理站处理后，排入港口污水处理厂处理，达标后排入水阳江。</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200万元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固废治理</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一般固废</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一般固体废物暂存库（占地 100m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），定期外售处理。</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106万元</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项目产生的固废主要包括一般固废、危险废物及生活垃圾。一般固废有废包装袋、布袋收集的粉尘、废离子交换树脂，建设一般工业固废暂存区域，位于污水处理站东侧，面积50m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，暂存后由物资公司回收。项目建设一间危废库，位于污水处理站东侧，面积100m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危险废物有污水处理站污泥、废过滤芯、阳极槽废液、槽渣、废活性炭、废酸碱包装桶，暂存于危废库中，公司已与宁国海螺环保科技有限责任公司签订危废处置协议，收集后交其处置。生活垃圾收集后由环卫部门清运。</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15万元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危险废物</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一间危险废物暂存库（占地300m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），定期委托有资质的单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位处理。</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生活垃圾</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厂区垃圾桶暂存，定期委托环卫部门处理</w:t>
                  </w:r>
                  <w:r>
                    <w:rPr>
                      <w:rFonts w:hint="eastAsia" w:ascii="Times New Roman" w:hAnsi="Times New Roman" w:cs="Times New Roman"/>
                      <w:b w:val="0"/>
                      <w:bCs w:val="0"/>
                      <w:sz w:val="21"/>
                      <w:szCs w:val="21"/>
                      <w:lang w:val="en-US"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5"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噪声治理</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设备噪声</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消声设备、隔音设施等</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15</w:t>
                  </w:r>
                  <w:r>
                    <w:rPr>
                      <w:rFonts w:hint="default" w:ascii="Times New Roman" w:hAnsi="Times New Roman" w:cs="Times New Roman"/>
                      <w:b w:val="0"/>
                      <w:bCs w:val="0"/>
                      <w:sz w:val="21"/>
                      <w:szCs w:val="21"/>
                      <w:lang w:val="en-US" w:eastAsia="zh-CN"/>
                    </w:rPr>
                    <w:t xml:space="preserve"> 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选用低噪声设备，</w:t>
                  </w:r>
                  <w:r>
                    <w:rPr>
                      <w:rFonts w:hint="eastAsia" w:ascii="Times New Roman" w:hAnsi="Times New Roman" w:cs="Times New Roman"/>
                      <w:b w:val="0"/>
                      <w:bCs w:val="0"/>
                      <w:sz w:val="21"/>
                      <w:szCs w:val="21"/>
                      <w:lang w:val="en-US" w:eastAsia="zh-CN"/>
                    </w:rPr>
                    <w:t>加装隔声罩，</w:t>
                  </w:r>
                  <w:r>
                    <w:rPr>
                      <w:rFonts w:hint="default" w:ascii="Times New Roman" w:hAnsi="Times New Roman" w:cs="Times New Roman"/>
                      <w:b w:val="0"/>
                      <w:bCs w:val="0"/>
                      <w:sz w:val="21"/>
                      <w:szCs w:val="21"/>
                      <w:lang w:val="en-US" w:eastAsia="zh-CN"/>
                    </w:rPr>
                    <w:t>采取隔声、减振等措施</w:t>
                  </w:r>
                  <w:r>
                    <w:rPr>
                      <w:rFonts w:hint="eastAsia"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下水</w:t>
                  </w:r>
                  <w:r>
                    <w:rPr>
                      <w:rFonts w:hint="eastAsia" w:ascii="Times New Roman" w:hAnsi="Times New Roman" w:cs="Times New Roman"/>
                      <w:b w:val="0"/>
                      <w:bCs w:val="0"/>
                      <w:sz w:val="21"/>
                      <w:szCs w:val="21"/>
                      <w:lang w:val="en-US" w:eastAsia="zh-CN"/>
                    </w:rPr>
                    <w:t>污染防治</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简单防渗区（综合楼、成品仓库、配电房）一般地面混凝土硬化，混凝土渗透系数为10</w:t>
                  </w:r>
                  <w:r>
                    <w:rPr>
                      <w:rFonts w:hint="default" w:ascii="Times New Roman" w:hAnsi="Times New Roman" w:cs="Times New Roman"/>
                      <w:b w:val="0"/>
                      <w:bCs w:val="0"/>
                      <w:sz w:val="21"/>
                      <w:szCs w:val="21"/>
                      <w:vertAlign w:val="superscript"/>
                      <w:lang w:val="en-US" w:eastAsia="zh-CN"/>
                    </w:rPr>
                    <w:t>-6</w:t>
                  </w:r>
                  <w:r>
                    <w:rPr>
                      <w:rFonts w:hint="default" w:ascii="Times New Roman" w:hAnsi="Times New Roman" w:cs="Times New Roman"/>
                      <w:b w:val="0"/>
                      <w:bCs w:val="0"/>
                      <w:sz w:val="21"/>
                      <w:szCs w:val="21"/>
                      <w:lang w:val="en-US" w:eastAsia="zh-CN"/>
                    </w:rPr>
                    <w:t>cm/s</w:t>
                  </w:r>
                  <w:r>
                    <w:rPr>
                      <w:rFonts w:hint="eastAsia" w:ascii="Times New Roman" w:hAnsi="Times New Roman" w:cs="Times New Roman"/>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一般防渗区（3#车间、2#车间机加工区域、一般固废暂存库）采用粘土铺底，在上层铺10</w:t>
                  </w:r>
                  <w:r>
                    <w:rPr>
                      <w:rFonts w:hint="default" w:ascii="Times New Roman" w:hAnsi="Times New Roman" w:cs="Times New Roman"/>
                      <w:b w:val="0"/>
                      <w:bCs w:val="0"/>
                      <w:sz w:val="21"/>
                      <w:szCs w:val="21"/>
                      <w:vertAlign w:val="superscript"/>
                      <w:lang w:val="en-US" w:eastAsia="zh-CN"/>
                    </w:rPr>
                    <w:t>-15</w:t>
                  </w:r>
                  <w:r>
                    <w:rPr>
                      <w:rFonts w:hint="default" w:ascii="Times New Roman" w:hAnsi="Times New Roman" w:cs="Times New Roman"/>
                      <w:b w:val="0"/>
                      <w:bCs w:val="0"/>
                      <w:sz w:val="21"/>
                      <w:szCs w:val="21"/>
                      <w:lang w:val="en-US" w:eastAsia="zh-CN"/>
                    </w:rPr>
                    <w:t>cm/s的水泥进行硬化，用环氧树脂漆进行防渗处理</w:t>
                  </w:r>
                  <w:r>
                    <w:rPr>
                      <w:rFonts w:hint="eastAsia" w:ascii="Times New Roman" w:hAnsi="Times New Roman" w:cs="Times New Roman"/>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重点防渗区（原材料仓库、2#车间阳极氧化生产线、1#车间喷粉生产线、喷漆生产线、污水处理站、事故水池、污水输送管道区域、危废暂存库）混凝土防渗层，厚度不应小于30cm。同时在混凝土防渗层下采用HDPE材料进行人工防渗，厚度不小于2.0mm。</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lang w:val="en-US" w:eastAsia="zh-CN"/>
                    </w:rPr>
                    <w:t>5 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eastAsia="zh-CN"/>
                    </w:rPr>
                    <w:t>危废库、污水处理站、</w:t>
                  </w:r>
                  <w:r>
                    <w:rPr>
                      <w:rFonts w:hint="default" w:ascii="Times New Roman" w:hAnsi="Times New Roman" w:cs="Times New Roman"/>
                      <w:color w:val="auto"/>
                      <w:kern w:val="0"/>
                      <w:szCs w:val="21"/>
                    </w:rPr>
                    <w:t>化学品库等采取重点防渗措施。</w:t>
                  </w: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10万元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环境风险</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编制环境风险应急预案、设置400m³事故应急池等</w:t>
                  </w:r>
                  <w:r>
                    <w:rPr>
                      <w:rFonts w:hint="eastAsia"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w:t>
                  </w:r>
                  <w:r>
                    <w:rPr>
                      <w:rFonts w:hint="default" w:ascii="Times New Roman" w:hAnsi="Times New Roman" w:cs="Times New Roman"/>
                      <w:b w:val="0"/>
                      <w:bCs w:val="0"/>
                      <w:sz w:val="21"/>
                      <w:szCs w:val="21"/>
                      <w:lang w:val="en-US" w:eastAsia="zh-CN"/>
                    </w:rPr>
                    <w:t>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2023年11月编制完成突发环境事件应急预案，并报宣城市宁国市生态环境分局备案，备案号为341881-2023-080-L。已建设</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1座容积为</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00m</w:t>
                  </w:r>
                  <w:r>
                    <w:rPr>
                      <w:rFonts w:hint="default" w:ascii="Times New Roman" w:hAnsi="Times New Roman"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的事故应急池。</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7</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排污口规范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化</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有组织废气及无组织废气、废水、噪声等监测计划</w:t>
                  </w:r>
                  <w:r>
                    <w:rPr>
                      <w:rFonts w:hint="eastAsia"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lang w:val="en-US" w:eastAsia="zh-CN"/>
                    </w:rPr>
                    <w:t>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有组织废气及无组织废气、废水、噪声等监测计划</w:t>
                  </w:r>
                  <w:r>
                    <w:rPr>
                      <w:rFonts w:hint="eastAsia" w:ascii="Times New Roman" w:hAnsi="Times New Roman" w:cs="Times New Roman"/>
                      <w:b w:val="0"/>
                      <w:bCs w:val="0"/>
                      <w:sz w:val="21"/>
                      <w:szCs w:val="21"/>
                      <w:lang w:val="en-US"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定期监测</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定期废水、废气、噪声、地下水监测</w:t>
                  </w:r>
                  <w:r>
                    <w:rPr>
                      <w:rFonts w:hint="eastAsia"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lang w:val="en-US" w:eastAsia="zh-CN"/>
                    </w:rPr>
                    <w:t>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定期废水、废气、噪声、地下水监测</w:t>
                  </w:r>
                  <w:r>
                    <w:rPr>
                      <w:rFonts w:hint="eastAsia" w:ascii="Times New Roman" w:hAnsi="Times New Roman" w:cs="Times New Roman"/>
                      <w:b w:val="0"/>
                      <w:bCs w:val="0"/>
                      <w:sz w:val="21"/>
                      <w:szCs w:val="21"/>
                      <w:lang w:val="en-US"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9</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环境管理</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建立环境管理机构、编制环境管理制度规范、安排专业环境管理人员</w:t>
                  </w:r>
                  <w:r>
                    <w:rPr>
                      <w:rFonts w:hint="eastAsia"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lang w:val="en-US" w:eastAsia="zh-CN"/>
                    </w:rPr>
                    <w:t>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建立环境管理机构、编制环境管理制度规范、安排专业环境管理人员</w:t>
                  </w:r>
                  <w:r>
                    <w:rPr>
                      <w:rFonts w:hint="eastAsia" w:ascii="Times New Roman" w:hAnsi="Times New Roman" w:cs="Times New Roman"/>
                      <w:b w:val="0"/>
                      <w:bCs w:val="0"/>
                      <w:sz w:val="21"/>
                      <w:szCs w:val="21"/>
                      <w:lang w:val="en-US" w:eastAsia="zh-CN"/>
                    </w:rPr>
                    <w:t>。</w:t>
                  </w: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合计</w:t>
                  </w:r>
                </w:p>
              </w:tc>
              <w:tc>
                <w:tcPr>
                  <w:tcW w:w="0" w:type="auto"/>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630</w:t>
                  </w:r>
                  <w:r>
                    <w:rPr>
                      <w:rFonts w:hint="default" w:ascii="Times New Roman" w:hAnsi="Times New Roman" w:cs="Times New Roman"/>
                      <w:b w:val="0"/>
                      <w:bCs w:val="0"/>
                      <w:sz w:val="21"/>
                      <w:szCs w:val="21"/>
                      <w:lang w:val="en-US" w:eastAsia="zh-CN"/>
                    </w:rPr>
                    <w:t xml:space="preserve"> 万元</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300 万元</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7、环境防护距离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公司位于安徽省宣城市宁国市经济技术开发区港口产业园明心路东侧，公司场址周边主要为工业企业及道路，厂区北侧为宝恒产业园、南侧为安徽永乐新材料科技有限公司、东侧为安徽法思特紧固科技有限公司，西侧为安徽沃尔美精工科技有限公司。在项目所在厂界外设置100m的环境防护距离，厂界外100m范围内无学校、自然保护区、风景名胜区和文物古迹等敏感点</w:t>
            </w:r>
            <w:r>
              <w:rPr>
                <w:rFonts w:hint="default" w:ascii="Times New Roman" w:hAnsi="Times New Roman" w:cs="Times New Roman"/>
                <w:sz w:val="24"/>
                <w:szCs w:val="24"/>
                <w:lang w:val="en-US" w:eastAsia="zh-CN"/>
              </w:rPr>
              <w:t>。</w:t>
            </w:r>
            <w:bookmarkStart w:id="1" w:name="_Hlk482430460"/>
          </w:p>
          <w:p>
            <w:pPr>
              <w:pStyle w:val="2"/>
              <w:rPr>
                <w:rFonts w:hint="default"/>
                <w:lang w:val="en-US" w:eastAsia="zh-CN"/>
              </w:rPr>
            </w:pPr>
          </w:p>
          <w:p>
            <w:pPr>
              <w:widowControl/>
              <w:spacing w:line="360" w:lineRule="auto"/>
              <w:ind w:firstLine="422" w:firstLineChars="200"/>
              <w:jc w:val="center"/>
              <w:rPr>
                <w:rFonts w:hint="eastAsia" w:ascii="仿宋" w:hAnsi="仿宋" w:eastAsia="仿宋"/>
                <w:color w:val="000000"/>
                <w:sz w:val="30"/>
                <w:szCs w:val="30"/>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项目</w:t>
            </w:r>
            <w:r>
              <w:rPr>
                <w:rFonts w:hint="default" w:ascii="Times New Roman" w:hAnsi="Times New Roman" w:cs="Times New Roman"/>
                <w:b/>
                <w:bCs/>
                <w:sz w:val="21"/>
                <w:szCs w:val="21"/>
                <w:lang w:val="en-US" w:eastAsia="zh-CN"/>
              </w:rPr>
              <w:t>周边环境</w:t>
            </w:r>
            <w:r>
              <w:rPr>
                <w:rFonts w:hint="eastAsia" w:ascii="Times New Roman" w:hAnsi="Times New Roman" w:cs="Times New Roman"/>
                <w:b/>
                <w:bCs/>
                <w:sz w:val="21"/>
                <w:szCs w:val="21"/>
                <w:lang w:val="en-US" w:eastAsia="zh-CN"/>
              </w:rPr>
              <w:t>保护目标</w:t>
            </w:r>
            <w:r>
              <w:rPr>
                <w:rFonts w:hint="default" w:ascii="Times New Roman" w:hAnsi="Times New Roman" w:cs="Times New Roman"/>
                <w:b/>
                <w:bCs/>
                <w:sz w:val="21"/>
                <w:szCs w:val="21"/>
                <w:lang w:val="en-US" w:eastAsia="zh-CN"/>
              </w:rPr>
              <w:t>一览</w:t>
            </w:r>
            <w:r>
              <w:rPr>
                <w:rFonts w:hint="eastAsia" w:ascii="Times New Roman" w:hAnsi="Times New Roman" w:cs="Times New Roman"/>
                <w:b/>
                <w:bCs/>
                <w:sz w:val="21"/>
                <w:szCs w:val="21"/>
                <w:lang w:val="en-US" w:eastAsia="zh-CN"/>
              </w:rPr>
              <w:t>表</w:t>
            </w:r>
          </w:p>
          <w:tbl>
            <w:tblPr>
              <w:tblStyle w:val="13"/>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186"/>
              <w:gridCol w:w="1510"/>
              <w:gridCol w:w="1225"/>
              <w:gridCol w:w="982"/>
              <w:gridCol w:w="1355"/>
              <w:gridCol w:w="246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186" w:type="dxa"/>
                  <w:tcBorders>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bookmarkStart w:id="2" w:name="_Hlk482223691"/>
                  <w:r>
                    <w:rPr>
                      <w:rFonts w:hint="default" w:ascii="Times New Roman" w:hAnsi="Times New Roman" w:eastAsia="宋体" w:cs="Times New Roman"/>
                      <w:b/>
                      <w:bCs/>
                      <w:color w:val="000000"/>
                      <w:sz w:val="21"/>
                      <w:szCs w:val="21"/>
                    </w:rPr>
                    <w:t>环境要素</w:t>
                  </w:r>
                </w:p>
              </w:tc>
              <w:tc>
                <w:tcPr>
                  <w:tcW w:w="1510"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风险受体</w:t>
                  </w:r>
                </w:p>
              </w:tc>
              <w:tc>
                <w:tcPr>
                  <w:tcW w:w="1225" w:type="dxa"/>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方位</w:t>
                  </w:r>
                </w:p>
              </w:tc>
              <w:tc>
                <w:tcPr>
                  <w:tcW w:w="982" w:type="dxa"/>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距离（m）</w:t>
                  </w:r>
                </w:p>
              </w:tc>
              <w:tc>
                <w:tcPr>
                  <w:tcW w:w="1355" w:type="dxa"/>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规模</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(户数/人数）</w:t>
                  </w:r>
                </w:p>
              </w:tc>
              <w:tc>
                <w:tcPr>
                  <w:tcW w:w="2464" w:type="dxa"/>
                  <w:tcBorders>
                    <w:left w:val="nil"/>
                    <w:bottom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环境功能及保护级别</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186" w:type="dxa"/>
                  <w:vMerge w:val="restart"/>
                  <w:tcBorders>
                    <w:top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空气环境</w:t>
                  </w:r>
                </w:p>
              </w:tc>
              <w:tc>
                <w:tcPr>
                  <w:tcW w:w="1510"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独松树</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S</w:t>
                  </w:r>
                </w:p>
              </w:tc>
              <w:tc>
                <w:tcPr>
                  <w:tcW w:w="9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362</w:t>
                  </w:r>
                </w:p>
              </w:tc>
              <w:tc>
                <w:tcPr>
                  <w:tcW w:w="1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80人</w:t>
                  </w:r>
                </w:p>
              </w:tc>
              <w:tc>
                <w:tcPr>
                  <w:tcW w:w="2464" w:type="dxa"/>
                  <w:vMerge w:val="restart"/>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186" w:type="dxa"/>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p>
              </w:tc>
              <w:tc>
                <w:tcPr>
                  <w:tcW w:w="1510"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eastAsia="zh-CN"/>
                    </w:rPr>
                    <w:t>飞达员工宿舍</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9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130</w:t>
                  </w:r>
                </w:p>
              </w:tc>
              <w:tc>
                <w:tcPr>
                  <w:tcW w:w="1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200人</w:t>
                  </w:r>
                </w:p>
              </w:tc>
              <w:tc>
                <w:tcPr>
                  <w:tcW w:w="2464"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186" w:type="dxa"/>
                  <w:tcBorders>
                    <w:top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地表水环境</w:t>
                  </w:r>
                </w:p>
              </w:tc>
              <w:tc>
                <w:tcPr>
                  <w:tcW w:w="15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水阳江</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shd w:val="clear" w:color="auto" w:fill="auto"/>
                      <w:lang w:val="en-US" w:eastAsia="zh-CN"/>
                    </w:rPr>
                    <w:t>E</w:t>
                  </w:r>
                </w:p>
              </w:tc>
              <w:tc>
                <w:tcPr>
                  <w:tcW w:w="9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shd w:val="clear" w:color="auto" w:fill="auto"/>
                      <w:lang w:val="en-US" w:eastAsia="zh-CN"/>
                    </w:rPr>
                    <w:t>4325</w:t>
                  </w:r>
                </w:p>
              </w:tc>
              <w:tc>
                <w:tcPr>
                  <w:tcW w:w="1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中型河流</w:t>
                  </w:r>
                </w:p>
              </w:tc>
              <w:tc>
                <w:tcPr>
                  <w:tcW w:w="2464" w:type="dxa"/>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《地表水环境质量标准》（GB3838-2002）中的Ⅲ类标准</w:t>
                  </w:r>
                </w:p>
              </w:tc>
            </w:tr>
            <w:bookmarkEnd w:id="1"/>
            <w:bookmarkEnd w:id="2"/>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529580" cy="2368550"/>
                  <wp:effectExtent l="0" t="0" r="13970" b="12700"/>
                  <wp:docPr id="41" name="图片 41" descr="556e4e6091b5c18d3950facb8180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56e4e6091b5c18d3950facb818030f"/>
                          <pic:cNvPicPr>
                            <a:picLocks noChangeAspect="1"/>
                          </pic:cNvPicPr>
                        </pic:nvPicPr>
                        <pic:blipFill>
                          <a:blip r:embed="rId20"/>
                          <a:stretch>
                            <a:fillRect/>
                          </a:stretch>
                        </pic:blipFill>
                        <pic:spPr>
                          <a:xfrm>
                            <a:off x="0" y="0"/>
                            <a:ext cx="5529580" cy="2368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eastAsia="宋体" w:cs="Times New Roman"/>
                <w:b/>
                <w:bCs/>
                <w:color w:val="000000"/>
                <w:kern w:val="2"/>
                <w:sz w:val="21"/>
                <w:szCs w:val="21"/>
                <w:lang w:val="en-US" w:eastAsia="zh-CN" w:bidi="ar-SA"/>
              </w:rPr>
              <w:t xml:space="preserve">图6-5 </w:t>
            </w:r>
            <w:r>
              <w:rPr>
                <w:rFonts w:hint="default" w:ascii="Times New Roman" w:hAnsi="Times New Roman" w:cs="Times New Roman"/>
                <w:b/>
                <w:bCs/>
                <w:sz w:val="21"/>
                <w:szCs w:val="21"/>
                <w:lang w:val="en-US" w:eastAsia="zh-CN"/>
              </w:rPr>
              <w:t>周边环境</w:t>
            </w:r>
            <w:r>
              <w:rPr>
                <w:rFonts w:hint="eastAsia" w:ascii="Times New Roman" w:hAnsi="Times New Roman" w:cs="Times New Roman"/>
                <w:b/>
                <w:bCs/>
                <w:sz w:val="21"/>
                <w:szCs w:val="21"/>
                <w:lang w:val="en-US" w:eastAsia="zh-CN"/>
              </w:rPr>
              <w:t>保护目标</w:t>
            </w:r>
            <w:r>
              <w:rPr>
                <w:rFonts w:hint="default"/>
                <w:b/>
                <w:bCs/>
                <w:sz w:val="21"/>
                <w:szCs w:val="21"/>
                <w:lang w:val="en-US" w:eastAsia="zh-CN"/>
              </w:rPr>
              <w:t>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8、应急预案完成情况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安徽舜派金属科技有限公司于2023年11月编制完成突发环境事件应急预案，并报宣城市宁国市生态环境分局备案，备案号为341881-2023-080-L。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、排污许可证完成情况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eastAsia="zh-CN"/>
              </w:rPr>
            </w:pPr>
            <w:r>
              <w:rPr>
                <w:rFonts w:hint="default" w:ascii="Times New Roman" w:hAnsi="Times New Roman" w:cs="Times New Roman"/>
                <w:color w:val="000000" w:themeColor="text1"/>
                <w:sz w:val="24"/>
                <w:szCs w:val="24"/>
                <w14:textFill>
                  <w14:solidFill>
                    <w14:schemeClr w14:val="tx1"/>
                  </w14:solidFill>
                </w14:textFill>
              </w:rPr>
              <w:t>根据项目的国</w:t>
            </w:r>
            <w:r>
              <w:rPr>
                <w:rFonts w:hint="default" w:ascii="Times New Roman" w:hAnsi="Times New Roman" w:cs="Times New Roman"/>
                <w:sz w:val="24"/>
                <w:szCs w:val="24"/>
              </w:rPr>
              <w:t>民经济行业类别C3</w:t>
            </w:r>
            <w:r>
              <w:rPr>
                <w:rFonts w:hint="eastAsia" w:ascii="Times New Roman" w:hAnsi="Times New Roman" w:cs="Times New Roman"/>
                <w:sz w:val="24"/>
                <w:szCs w:val="24"/>
                <w:lang w:val="en-US" w:eastAsia="zh-CN"/>
              </w:rPr>
              <w:t xml:space="preserve">989 </w:t>
            </w:r>
            <w:r>
              <w:rPr>
                <w:rFonts w:hint="default" w:ascii="Times New Roman" w:hAnsi="Times New Roman" w:cs="Times New Roman"/>
                <w:sz w:val="24"/>
                <w:szCs w:val="24"/>
              </w:rPr>
              <w:t>其他电子元件制造，按《固定污染源排污许可分类管理名录（2019年版）》进行判定，可知：本项目属于固定污染源排污许可分类管理名录表中的“三十四、计算机、通信和其他电子设备制造业 39</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其他电子设备制造 399”中的“除重点管理以外的年使用10吨及以上溶剂型涂料（含稀释剂）的”</w:t>
            </w:r>
            <w:r>
              <w:rPr>
                <w:rFonts w:hint="eastAsia" w:ascii="Times New Roman" w:hAnsi="Times New Roman" w:cs="Times New Roman"/>
                <w:sz w:val="24"/>
                <w:szCs w:val="24"/>
                <w:lang w:eastAsia="zh-CN"/>
              </w:rPr>
              <w:t>及</w:t>
            </w:r>
            <w:r>
              <w:rPr>
                <w:rFonts w:hint="default" w:ascii="Times New Roman" w:hAnsi="Times New Roman" w:cs="Times New Roman"/>
                <w:sz w:val="24"/>
                <w:szCs w:val="24"/>
              </w:rPr>
              <w:t>“五十一、通用工序</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表面处理”中的“除纳入重点排污单位名录的，有电镀工序、酸洗、抛光（电解抛光和化学抛光）、热浸镀（溶剂法）、淬火或者钝化等工序的、年使用 10 吨及以上有机溶剂的”，本项目的排污许可填报“管理类别”为“</w:t>
            </w:r>
            <w:r>
              <w:rPr>
                <w:rFonts w:hint="eastAsia" w:ascii="Times New Roman" w:hAnsi="Times New Roman" w:cs="Times New Roman"/>
                <w:sz w:val="24"/>
                <w:szCs w:val="24"/>
                <w:lang w:eastAsia="zh-CN"/>
              </w:rPr>
              <w:t>简化</w:t>
            </w:r>
            <w:r>
              <w:rPr>
                <w:rFonts w:hint="default" w:ascii="Times New Roman" w:hAnsi="Times New Roman" w:cs="Times New Roman"/>
                <w:sz w:val="24"/>
                <w:szCs w:val="24"/>
              </w:rPr>
              <w:t>管理”。安徽舜派金属科技有限公司</w:t>
            </w:r>
            <w:r>
              <w:rPr>
                <w:rFonts w:hint="eastAsia" w:ascii="Times New Roman" w:hAnsi="Times New Roman" w:cs="Times New Roman"/>
                <w:sz w:val="24"/>
                <w:szCs w:val="24"/>
                <w:lang w:val="en-US" w:eastAsia="zh-CN"/>
              </w:rPr>
              <w:t>排污许可证于2023年10月27日发证，有效期为2023年10月27日至2028年10月26日。证书编号：91341881MA2W271H5Q001Q</w:t>
            </w:r>
            <w:r>
              <w:rPr>
                <w:rFonts w:hint="default" w:ascii="Times New Roman" w:hAnsi="Times New Roman" w:cs="Times New Roman"/>
                <w:sz w:val="24"/>
                <w:szCs w:val="24"/>
              </w:rPr>
              <w:t>。</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lang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6591300</wp:posOffset>
                </wp:positionH>
                <wp:positionV relativeFrom="paragraph">
                  <wp:posOffset>2793365</wp:posOffset>
                </wp:positionV>
                <wp:extent cx="119380" cy="130810"/>
                <wp:effectExtent l="4445" t="4445" r="9525" b="17145"/>
                <wp:wrapNone/>
                <wp:docPr id="35" name="椭圆 35"/>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19pt;margin-top:219.95pt;height:10.3pt;width:9.4pt;z-index:251683840;mso-width-relative:page;mso-height-relative:page;" fillcolor="#FF0000" filled="t" stroked="t" coordsize="21600,21600" o:gfxdata="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EE6NkAAAANAQAADwAAAAAAAAABACAAAAAiAAAAZHJzL2Rvd25y&#10;ZXYueG1sUEsBAhQAFAAAAAgAh07iQBqLTFr9AQAAIwQAAA4AAAAAAAAAAQAgAAAAKAEAAGRycy9l&#10;Mm9Eb2MueG1sUEsFBgAAAAAGAAYAWQEAAJc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4535170</wp:posOffset>
                </wp:positionH>
                <wp:positionV relativeFrom="paragraph">
                  <wp:posOffset>3595370</wp:posOffset>
                </wp:positionV>
                <wp:extent cx="119380" cy="130810"/>
                <wp:effectExtent l="4445" t="4445" r="9525" b="17145"/>
                <wp:wrapNone/>
                <wp:docPr id="38" name="椭圆 38"/>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57.1pt;margin-top:283.1pt;height:10.3pt;width:9.4pt;z-index:251684864;mso-width-relative:page;mso-height-relative:page;" fillcolor="#FF0000" filled="t" stroked="t" coordsize="21600,21600" o:gfxdata="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lkxc9kAAAALAQAADwAAAAAAAAABACAAAAAiAAAAZHJzL2Rvd25y&#10;ZXYueG1sUEsBAhQAFAAAAAgAh07iQBPlRaf9AQAAIwQAAA4AAAAAAAAAAQAgAAAAKAEAAGRycy9l&#10;Mm9Eb2MueG1sUEsFBgAAAAAGAAYAWQEAAJc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5932170</wp:posOffset>
                </wp:positionH>
                <wp:positionV relativeFrom="paragraph">
                  <wp:posOffset>848995</wp:posOffset>
                </wp:positionV>
                <wp:extent cx="119380" cy="130810"/>
                <wp:effectExtent l="4445" t="4445" r="9525" b="17145"/>
                <wp:wrapNone/>
                <wp:docPr id="32" name="椭圆 32"/>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467.1pt;margin-top:66.85pt;height:10.3pt;width:9.4pt;z-index:251682816;mso-width-relative:page;mso-height-relative:page;" fillcolor="#FF0000" filled="t" stroked="t" coordsize="21600,21600" o:gfxdata="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rCU32AAAAAsBAAAPAAAAAAAAAAEAIAAAACIAAABkcnMvZG93bnJl&#10;di54bWxQSwECFAAUAAAACACHTuJAUf6gOf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5066665</wp:posOffset>
                </wp:positionH>
                <wp:positionV relativeFrom="paragraph">
                  <wp:posOffset>817245</wp:posOffset>
                </wp:positionV>
                <wp:extent cx="119380" cy="130810"/>
                <wp:effectExtent l="4445" t="4445" r="9525" b="17145"/>
                <wp:wrapNone/>
                <wp:docPr id="30" name="椭圆 30"/>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98.95pt;margin-top:64.35pt;height:10.3pt;width:9.4pt;z-index:251681792;mso-width-relative:page;mso-height-relative:page;" fillcolor="#FF0000" filled="t" stroked="t" coordsize="21600,21600" o:gfxdata="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yvnW/YAAAACwEAAA8AAAAAAAAAAQAgAAAAIgAAAGRycy9kb3ducmV2&#10;LnhtbFBLAQIUABQAAAAIAIdO4kC7Bj4V/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6217920</wp:posOffset>
                </wp:positionH>
                <wp:positionV relativeFrom="paragraph">
                  <wp:posOffset>160655</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89.6pt;margin-top:12.65pt;height:14.35pt;width:15pt;z-index:251659264;v-text-anchor:middle;mso-width-relative:page;mso-height-relative:page;" fillcolor="#FF0000" filled="t" stroked="t" coordsize="190500,182245" o:gfxdata="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LyEV9kAAAAKAQAADwAAAAAAAAABACAAAAAiAAAAZHJzL2Rv&#10;d25yZXYueG1sUEsBAhQAFAAAAAgAh07iQHT+1PtyAgAA9wQAAA4AAAAAAAAAAQAgAAAAKAEAAGRy&#10;cy9lMm9Eb2MueG1sUEsFBgAAAAAGAAYAWQEAAAwGA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6911340</wp:posOffset>
                </wp:positionH>
                <wp:positionV relativeFrom="paragraph">
                  <wp:posOffset>-156210</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544.2pt;margin-top:-12.3pt;height:17.5pt;width:15.65pt;z-index:251666432;mso-width-relative:page;mso-height-relative:page;" fillcolor="#FF0000" filled="t" stroked="t" coordsize="21600,21600" o:gfxdata="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iYAeG2AAAAAwBAAAPAAAAAAAAAAEAIAAAACIAAABkcnMvZG93bnJldi54bWxQ&#10;SwECFAAUAAAACACHTuJAC+srsk0DAABUCQAADgAAAAAAAAABACAAAAAnAQAAZHJzL2Uyb0RvYy54&#10;bWxQSwUGAAAAAAYABgBZAQAA5g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7040880</wp:posOffset>
                </wp:positionH>
                <wp:positionV relativeFrom="paragraph">
                  <wp:posOffset>2021205</wp:posOffset>
                </wp:positionV>
                <wp:extent cx="142875" cy="142875"/>
                <wp:effectExtent l="7620" t="10795" r="20955" b="17780"/>
                <wp:wrapNone/>
                <wp:docPr id="25" name="流程图: 摘录 25"/>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554.4pt;margin-top:159.15pt;height:11.25pt;width:11.25pt;z-index:251680768;mso-width-relative:page;mso-height-relative:page;" fillcolor="#FF0000" filled="t" stroked="t" coordsize="21600,21600" o:gfxdata="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XV1ZDcAAAADQEA&#10;AA8AAAAAAAAAAQAgAAAAIgAAAGRycy9kb3ducmV2LnhtbFBLAQIUABQAAAAIAIdO4kC5b0QMFgIA&#10;AEEEAAAOAAAAAAAAAAEAIAAAACs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4237355</wp:posOffset>
                </wp:positionH>
                <wp:positionV relativeFrom="paragraph">
                  <wp:posOffset>-115570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33.65pt;margin-top:-9.1pt;height:11.25pt;width:11.25pt;z-index:251662336;mso-width-relative:page;mso-height-relative:page;" fillcolor="#FF0000" filled="t" stroked="t" coordsize="21600,21600" o:gfxdata="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6I7v3AAAAAkB&#10;AAAPAAAAAAAAAAEAIAAAACIAAABkcnMvZG93bnJldi54bWxQSwECFAAUAAAACACHTuJA39n2P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4380230</wp:posOffset>
                </wp:positionH>
                <wp:positionV relativeFrom="paragraph">
                  <wp:posOffset>4298950</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44.9pt;margin-top:338.5pt;height:11.25pt;width:11.25pt;z-index:251663360;mso-width-relative:page;mso-height-relative:page;" fillcolor="#FF0000" filled="t" stroked="t" coordsize="21600,21600" o:gfxdata="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EB3y90AAAAL&#10;AQAADwAAAAAAAAABACAAAAAiAAAAZHJzL2Rvd25yZXYueG1sUEsBAhQAFAAAAAgAh07iQCPSUBk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1177290</wp:posOffset>
                </wp:positionH>
                <wp:positionV relativeFrom="paragraph">
                  <wp:posOffset>1910715</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92.7pt;margin-top:150.45pt;height:11.25pt;width:11.25pt;z-index:251665408;mso-width-relative:page;mso-height-relative:page;" fillcolor="#FF0000" filled="t" stroked="t" coordsize="21600,21600" o:gfxdata="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unmf3AAAAAsB&#10;AAAPAAAAAAAAAAEAIAAAACIAAABkcnMvZG93bnJldi54bWxQSwECFAAUAAAACACHTuJAxYYRy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1341120</wp:posOffset>
                </wp:positionH>
                <wp:positionV relativeFrom="paragraph">
                  <wp:posOffset>4259580</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05.6pt;margin-top:335.4pt;height:17.5pt;width:15.65pt;z-index:251667456;mso-width-relative:page;mso-height-relative:page;" fillcolor="#FF0000" filled="t" stroked="t" coordsize="21600,21600" o:gfxdata="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Cf0zRvZAAAACwEAAA8AAAAAAAAAAQAgAAAAIgAAAGRycy9kb3ducmV2Lnht&#10;bFBLAQIUABQAAAAIAIdO4kDx/7F3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1390015</wp:posOffset>
                </wp:positionH>
                <wp:positionV relativeFrom="paragraph">
                  <wp:posOffset>-153670</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09.45pt;margin-top:-12.1pt;height:17.5pt;width:15.65pt;z-index:251668480;mso-width-relative:page;mso-height-relative:page;" fillcolor="#FF0000" filled="t" stroked="t" coordsize="21600,21600" o:gfxdata="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hP/2U1wAAAAoBAAAPAAAAAAAAAAEAIAAAACIAAABkcnMvZG93bnJldi54bWxQ&#10;SwECFAAUAAAACACHTuJA1LCRxE4DAABUCQAADgAAAAAAAAABACAAAAAmAQAAZHJzL2Uyb0RvYy54&#10;bWxQSwUGAAAAAAYABgBZAQAA5g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4732655</wp:posOffset>
                </wp:positionH>
                <wp:positionV relativeFrom="paragraph">
                  <wp:posOffset>4537710</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72.65pt;margin-top:357.3pt;height:11.25pt;width:11.25pt;z-index:251664384;mso-width-relative:page;mso-height-relative:page;" fillcolor="#FF0000" filled="t" stroked="t" coordsize="21600,21600" o:gfxdata="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uMBN3AAAAAsB&#10;AAAPAAAAAAAAAAEAIAAAACIAAABkcnMvZG93bnJldi54bWxQSwECFAAUAAAACACHTuJASCnis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7549515</wp:posOffset>
                </wp:positionH>
                <wp:positionV relativeFrom="paragraph">
                  <wp:posOffset>2631440</wp:posOffset>
                </wp:positionV>
                <wp:extent cx="198755" cy="222250"/>
                <wp:effectExtent l="4445" t="4445" r="6350" b="20955"/>
                <wp:wrapNone/>
                <wp:docPr id="36" name="任意多边形 3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0" style="position:absolute;left:0pt;margin-left:594.45pt;margin-top:207.2pt;height:17.5pt;width:15.65pt;z-index:251670528;mso-width-relative:page;mso-height-relative:page;" fillcolor="#FF0000" filled="t" stroked="t" coordsize="21600,21600" o:gfxdata="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UTqTvZAAAADQEAAA8AAAAAAAAAAQAgAAAAIgAAAGRycy9kb3ducmV2Lnht&#10;bFBLAQIUABQAAAAIAIdO4kB674q+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7572375</wp:posOffset>
                </wp:positionH>
                <wp:positionV relativeFrom="paragraph">
                  <wp:posOffset>3833495</wp:posOffset>
                </wp:positionV>
                <wp:extent cx="190500" cy="182245"/>
                <wp:effectExtent l="19685" t="20955" r="37465" b="25400"/>
                <wp:wrapNone/>
                <wp:docPr id="6" name="五角星 6"/>
                <wp:cNvGraphicFramePr/>
                <a:graphic xmlns:a="http://schemas.openxmlformats.org/drawingml/2006/main">
                  <a:graphicData uri="http://schemas.microsoft.com/office/word/2010/wordprocessingShape">
                    <wps:wsp>
                      <wps:cNvSpPr/>
                      <wps:spPr>
                        <a:xfrm>
                          <a:off x="8397875" y="528701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6.25pt;margin-top:301.85pt;height:14.35pt;width:15pt;z-index:251676672;v-text-anchor:middle;mso-width-relative:page;mso-height-relative:page;" fillcolor="#FF0000" filled="t" stroked="t" coordsize="190500,182245" o:gfxdata="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1krg7aAAAADQEAAA8AAAAAAAAAAQAg&#10;AAAAIgAAAGRycy9kb3ducmV2LnhtbFBLAQIUABQAAAAIAIdO4kBB0xqEfgIAAAMFAAAOAAAAAAAA&#10;AAEAIAAAACkBAABkcnMvZTJvRG9jLnhtbFBLBQYAAAAABgAGAFkBAAAZ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7585075</wp:posOffset>
                </wp:positionH>
                <wp:positionV relativeFrom="paragraph">
                  <wp:posOffset>3452495</wp:posOffset>
                </wp:positionV>
                <wp:extent cx="142875" cy="142875"/>
                <wp:effectExtent l="7620" t="10795" r="20955" b="17780"/>
                <wp:wrapNone/>
                <wp:docPr id="37" name="流程图: 摘录 3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27" type="#_x0000_t127" style="position:absolute;left:0pt;margin-left:597.25pt;margin-top:271.85pt;height:11.25pt;width:11.25pt;z-index:251672576;mso-width-relative:page;mso-height-relative:page;" fillcolor="#FF0000" filled="t" stroked="t" coordsize="21600,21600" o:gfxdata="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gX8N0AAAAN&#10;AQAADwAAAAAAAAABACAAAAAiAAAAZHJzL2Rvd25yZXYueG1sUEsBAhQAFAAAAAgAh07iQC3GDj4X&#10;AgAAQQQAAA4AAAAAAAAAAQAgAAAALAEAAGRycy9lMm9Eb2MueG1sUEsFBgAAAAAGAAYAWQEAALUF&#10;AAAAAA==&#10;">
                <v:fill on="t" focussize="0,0"/>
                <v:stroke color="#FF0000"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7589520</wp:posOffset>
                </wp:positionH>
                <wp:positionV relativeFrom="paragraph">
                  <wp:posOffset>3093720</wp:posOffset>
                </wp:positionV>
                <wp:extent cx="119380" cy="130810"/>
                <wp:effectExtent l="4445" t="4445" r="9525" b="17145"/>
                <wp:wrapNone/>
                <wp:docPr id="40" name="椭圆 40"/>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97.6pt;margin-top:243.6pt;height:10.3pt;width:9.4pt;z-index:251671552;mso-width-relative:page;mso-height-relative:page;" fillcolor="#FF0000" filled="t" stroked="t" coordsize="21600,21600" o:gfxdata="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1nJfjYAAAADQEAAA8AAAAAAAAAAQAgAAAAIgAAAGRycy9kb3ducmV2&#10;LnhtbFBLAQIUABQAAAAIAIdO4kDWclP0/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7435850</wp:posOffset>
                </wp:positionH>
                <wp:positionV relativeFrom="paragraph">
                  <wp:posOffset>2612390</wp:posOffset>
                </wp:positionV>
                <wp:extent cx="905510" cy="1460500"/>
                <wp:effectExtent l="0" t="0" r="8890" b="6350"/>
                <wp:wrapNone/>
                <wp:docPr id="39" name="文本框 39"/>
                <wp:cNvGraphicFramePr/>
                <a:graphic xmlns:a="http://schemas.openxmlformats.org/drawingml/2006/main">
                  <a:graphicData uri="http://schemas.microsoft.com/office/word/2010/wordprocessingShape">
                    <wps:wsp>
                      <wps:cNvSpPr txBox="1"/>
                      <wps:spPr>
                        <a:xfrm>
                          <a:off x="0" y="0"/>
                          <a:ext cx="905510" cy="14605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a:graphicData>
                </a:graphic>
              </wp:anchor>
            </w:drawing>
          </mc:Choice>
          <mc:Fallback>
            <w:pict>
              <v:shape id="_x0000_s1026" o:spid="_x0000_s1026" o:spt="202" type="#_x0000_t202" style="position:absolute;left:0pt;margin-left:585.5pt;margin-top:205.7pt;height:115pt;width:71.3pt;z-index:251669504;mso-width-relative:page;mso-height-relative:page;" fillcolor="#FFFFFF" filled="t" stroked="f" coordsize="21600,21600" o:gfxdata="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hSvTNkAAAANAQAADwAAAAAAAAABACAAAAAiAAAAZHJzL2Rvd25y&#10;ZXYueG1sUEsBAhQAFAAAAAgAh07iQLK1cvrEAQAAeQMAAA4AAAAAAAAAAQAgAAAAKAEAAGRycy9l&#10;Mm9Eb2MueG1sUEsFBgAAAAAGAAYAWQEAAF4FAA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w:pict>
          </mc:Fallback>
        </mc:AlternateContent>
      </w:r>
      <w:r>
        <w:rPr>
          <w:rFonts w:hint="eastAsia" w:eastAsiaTheme="minorEastAsia"/>
          <w:lang w:eastAsia="zh-CN"/>
        </w:rPr>
        <w:drawing>
          <wp:inline distT="0" distB="0" distL="114300" distR="114300">
            <wp:extent cx="5619750" cy="4217035"/>
            <wp:effectExtent l="0" t="0" r="0" b="12065"/>
            <wp:docPr id="18" name="图片 18" descr="E:\排污许可\舜派\平面图.png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排污许可\舜派\平面图.png平面图"/>
                    <pic:cNvPicPr>
                      <a:picLocks noChangeAspect="1"/>
                    </pic:cNvPicPr>
                  </pic:nvPicPr>
                  <pic:blipFill>
                    <a:blip r:embed="rId21"/>
                    <a:srcRect t="11" b="11"/>
                    <a:stretch>
                      <a:fillRect/>
                    </a:stretch>
                  </pic:blipFill>
                  <pic:spPr>
                    <a:xfrm>
                      <a:off x="0" y="0"/>
                      <a:ext cx="5619750" cy="4217035"/>
                    </a:xfrm>
                    <a:prstGeom prst="rect">
                      <a:avLst/>
                    </a:prstGeom>
                  </pic:spPr>
                </pic:pic>
              </a:graphicData>
            </a:graphic>
          </wp:inline>
        </w:drawing>
      </w:r>
    </w:p>
    <w:p>
      <w:pPr>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3600" behindDoc="0" locked="0" layoutInCell="1" allowOverlap="1">
                <wp:simplePos x="0" y="0"/>
                <wp:positionH relativeFrom="column">
                  <wp:posOffset>3006725</wp:posOffset>
                </wp:positionH>
                <wp:positionV relativeFrom="paragraph">
                  <wp:posOffset>-86360</wp:posOffset>
                </wp:positionV>
                <wp:extent cx="2974975" cy="301625"/>
                <wp:effectExtent l="0" t="0" r="15875" b="3175"/>
                <wp:wrapNone/>
                <wp:docPr id="3" name="文本框 3"/>
                <wp:cNvGraphicFramePr/>
                <a:graphic xmlns:a="http://schemas.openxmlformats.org/drawingml/2006/main">
                  <a:graphicData uri="http://schemas.microsoft.com/office/word/2010/wordprocessingShape">
                    <wps:wsp>
                      <wps:cNvSpPr txBox="1"/>
                      <wps:spPr>
                        <a:xfrm>
                          <a:off x="4913630" y="6525895"/>
                          <a:ext cx="297497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图6-6 </w:t>
                            </w:r>
                            <w:r>
                              <w:rPr>
                                <w:rFonts w:hint="default"/>
                                <w:b/>
                                <w:bCs/>
                                <w:sz w:val="21"/>
                                <w:szCs w:val="21"/>
                                <w:lang w:val="en-US" w:eastAsia="zh-CN"/>
                              </w:rPr>
                              <w:t>厂区平面布置</w:t>
                            </w:r>
                            <w:r>
                              <w:rPr>
                                <w:rFonts w:hint="eastAsia"/>
                                <w:b/>
                                <w:bCs/>
                                <w:sz w:val="21"/>
                                <w:szCs w:val="21"/>
                                <w:lang w:val="en-US" w:eastAsia="zh-CN"/>
                              </w:rPr>
                              <w:t>、雨污管网</w:t>
                            </w:r>
                            <w:r>
                              <w:rPr>
                                <w:rFonts w:hint="default"/>
                                <w:b/>
                                <w:bCs/>
                                <w:sz w:val="21"/>
                                <w:szCs w:val="21"/>
                                <w:lang w:val="en-US" w:eastAsia="zh-CN"/>
                              </w:rPr>
                              <w:t>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75pt;margin-top:-6.8pt;height:23.75pt;width:234.25pt;z-index:251673600;mso-width-relative:page;mso-height-relative:page;" fillcolor="#FFFFFF [3201]" filled="t" stroked="f" coordsize="21600,21600" o:gfxdata="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OD&#10;+b3WAAAACgEAAA8AAAAAAAAAAQAgAAAAIgAAAGRycy9kb3ducmV2LnhtbFBLAQIUABQAAAAIAIdO&#10;4kDwYrbtXgIAAJsEAAAOAAAAAAAAAAEAIAAAACUBAABkcnMvZTJvRG9jLnhtbFBLBQYAAAAABgAG&#10;AFkBAAD1BQ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图6-6 </w:t>
                      </w:r>
                      <w:r>
                        <w:rPr>
                          <w:rFonts w:hint="default"/>
                          <w:b/>
                          <w:bCs/>
                          <w:sz w:val="21"/>
                          <w:szCs w:val="21"/>
                          <w:lang w:val="en-US" w:eastAsia="zh-CN"/>
                        </w:rPr>
                        <w:t>厂区平面布置</w:t>
                      </w:r>
                      <w:r>
                        <w:rPr>
                          <w:rFonts w:hint="eastAsia"/>
                          <w:b/>
                          <w:bCs/>
                          <w:sz w:val="21"/>
                          <w:szCs w:val="21"/>
                          <w:lang w:val="en-US" w:eastAsia="zh-CN"/>
                        </w:rPr>
                        <w:t>、雨污管网</w:t>
                      </w:r>
                      <w:r>
                        <w:rPr>
                          <w:rFonts w:hint="default"/>
                          <w:b/>
                          <w:bCs/>
                          <w:sz w:val="21"/>
                          <w:szCs w:val="21"/>
                          <w:lang w:val="en-US" w:eastAsia="zh-CN"/>
                        </w:rPr>
                        <w:t>及监测点位</w:t>
                      </w:r>
                    </w:p>
                  </w:txbxContent>
                </v:textbox>
              </v:shape>
            </w:pict>
          </mc:Fallback>
        </mc:AlternateConten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eastAsia="zh-CN"/>
              </w:rPr>
              <w:t>安徽舜派金属科技有限公司半导体设备零部件生产项目符合国家相关产业政策，符合地方总体规划要求，选址合理。在建设营运过程中严格执行“三同时”的要求，全面认真执行本评价提出的各项环保措施，确保各项污染物达标排放的前提下，本项目的建设对周围环境的不利影响较小。从环境影响角度分析，项目的建设是可行</w:t>
            </w:r>
            <w:r>
              <w:rPr>
                <w:rFonts w:hint="default"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安徽舜派金属科技有限公司半导体设备零部件生产项目选址于宁国市经济技术开发区港口产业园明心路东侧。项目总投资50000万元，占地面积约50亩，新建阳极氧化生产线、喷漆生产线、喷塑生产线等。项目经宁国经济技术开发区管理委员会备案，备案文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宁开发项[2020]153号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项目编码</w:t>
            </w:r>
            <w:r>
              <w:rPr>
                <w:rFonts w:hint="eastAsia" w:ascii="Times New Roman" w:hAnsi="Times New Roman" w:eastAsia="宋体" w:cs="Times New Roman"/>
                <w:color w:val="auto"/>
                <w:sz w:val="24"/>
                <w:szCs w:val="24"/>
                <w:lang w:eastAsia="zh-CN"/>
              </w:rPr>
              <w:t>：2020-341862-34-03-031732</w:t>
            </w:r>
            <w:r>
              <w:rPr>
                <w:rFonts w:hint="default" w:ascii="Times New Roman" w:hAnsi="Times New Roman" w:eastAsia="宋体" w:cs="Times New Roman"/>
                <w:color w:val="auto"/>
                <w:sz w:val="24"/>
                <w:szCs w:val="24"/>
                <w:lang w:eastAsia="zh-CN"/>
              </w:rPr>
              <w:t>。项目经我局研究，原则同意建设。</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二、项目废水排入港口污水处理厂，总排口废水排放执行《污水综合排放标准》 (GB8978-1996)中的三级标准及港口污水处理厂接管标准，其中特征污染物总铝、总锌执行《电镀污染物排放标准》(GB21900-2008)中表2排放标准</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三、项目阳极氧化生产线产生硫酸雾、硝酸雾参照执行《电镀污染物排放标准》 (GB21900-2008)中表5排放限值和表6单位产品基准排气量</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其他生产线产生的颗粒物、焊接烟尘、二甲苯、乙酸</w:t>
            </w:r>
            <w:r>
              <w:rPr>
                <w:rFonts w:hint="eastAsia" w:ascii="Times New Roman" w:hAnsi="Times New Roman" w:eastAsia="宋体" w:cs="Times New Roman"/>
                <w:color w:val="auto"/>
                <w:sz w:val="24"/>
                <w:szCs w:val="24"/>
                <w:lang w:eastAsia="zh-CN"/>
              </w:rPr>
              <w:t>丁酯</w:t>
            </w:r>
            <w:r>
              <w:rPr>
                <w:rFonts w:hint="default" w:ascii="Times New Roman" w:hAnsi="Times New Roman" w:eastAsia="宋体" w:cs="Times New Roman"/>
                <w:color w:val="auto"/>
                <w:sz w:val="24"/>
                <w:szCs w:val="24"/>
                <w:lang w:eastAsia="zh-CN"/>
              </w:rPr>
              <w:t>、丙酮、非甲烷总烃参照执行《大气污染物综合排放标准 上海市地方标准》(DB31/933-2015)中表 1和表 3 排放限值</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熔化炉产生的颗粒物、二氧化硫、氮氧化物参照执行《工业炉窑大气污染物综合治理方案》(环大气[2019]56 号)中关于颗粒物、二氧化硫、氮氧化物的排放限值</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氨气执行《恶臭污染物排放标准》(GB14554-1993)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有机废气无组织排放执行《挥发性有机物无组织排放控制标准》 (GB37822-2019)中表A1特别排放限值</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食堂油烟排放参照执行《饮食业油烟排放标准(试行)》(GB18483-2001)标准。</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四、该项目施工期噪声执行《建筑施工场界环境噪声排放标准》 (GB12523-2011)标准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运营期厂界噪声执行《工业企业厂界环境噪声排放标准》 (GB12348-2008)中的3类标准。</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五、该项目固体废弃物执行《一般工业固体废弃物贮存处置场污染控制标准》 (GB18599-2001)及其修改单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危险废物执行《危险废物贮存污染控制标准》 (GB18597-2001)及其修改单。</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六、项目总量控制指标烟粉尘为1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376t/a，VOC</w:t>
            </w:r>
            <w:r>
              <w:rPr>
                <w:rFonts w:hint="eastAsia"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lang w:eastAsia="zh-CN"/>
              </w:rPr>
              <w:t>为1.038t/a，S</w:t>
            </w:r>
            <w:r>
              <w:rPr>
                <w:rFonts w:hint="eastAsia" w:ascii="Times New Roman" w:hAnsi="Times New Roman" w:eastAsia="宋体" w:cs="Times New Roman"/>
                <w:color w:val="auto"/>
                <w:sz w:val="24"/>
                <w:szCs w:val="24"/>
                <w:lang w:val="en-US" w:eastAsia="zh-CN"/>
              </w:rPr>
              <w:t>O</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为0.8t/a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NO</w:t>
            </w:r>
            <w:r>
              <w:rPr>
                <w:rFonts w:hint="eastAsia"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eastAsia="zh-CN"/>
              </w:rPr>
              <w:t>为5.201t/a，COD为8.127t/a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NH</w:t>
            </w:r>
            <w:r>
              <w:rPr>
                <w:rFonts w:hint="eastAsia"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eastAsia="zh-CN"/>
              </w:rPr>
              <w:t>-N为0.38t/a。</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八、项目建成后，严格执行排污许可制</w:t>
            </w:r>
            <w:r>
              <w:rPr>
                <w:rFonts w:hint="eastAsia" w:ascii="Times New Roman" w:hAnsi="Times New Roman" w:eastAsia="宋体" w:cs="Times New Roman"/>
                <w:color w:val="auto"/>
                <w:sz w:val="24"/>
                <w:szCs w:val="24"/>
                <w:lang w:eastAsia="zh-CN"/>
              </w:rPr>
              <w:t>度</w:t>
            </w:r>
            <w:r>
              <w:rPr>
                <w:rFonts w:hint="default"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表8-1 环评批复要求与落实情况对照表</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安徽舜派金属科技有限公司半导体设备零部件生产项目选址于宁国市经济技术开发区港口产业园明心路东侧。项目总投资 50000 万元，占地面积约 50 亩，新建阳极氧化生产线、喷漆生产线、喷塑生产线等。项目经宁国经济技术开发区管理委员会备案，备案文号：宁开发项[2020]153号，项目编码：2020-341862-34-03-031732。项目经我局研究，原则同意建设。</w:t>
                  </w:r>
                </w:p>
              </w:tc>
              <w:tc>
                <w:tcPr>
                  <w:tcW w:w="2654" w:type="pct"/>
                  <w:tcBorders>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w:t>
                  </w:r>
                  <w:r>
                    <w:rPr>
                      <w:rFonts w:hint="default" w:ascii="Times New Roman" w:hAnsi="Times New Roman" w:eastAsia="宋体" w:cs="Times New Roman"/>
                      <w:color w:val="auto"/>
                      <w:sz w:val="21"/>
                      <w:szCs w:val="21"/>
                      <w:highlight w:val="none"/>
                      <w:lang w:eastAsia="zh-CN"/>
                    </w:rPr>
                    <w:t>宁国市经济技术开发区港口产业园明心路东侧</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项目废水排入港口污水处理厂，总排口废水排放执行《污水综合排放标准》 (GB8978-1996)中的三级标准及港口污水处理厂接管标准，其中特征污染物总铝、总锌执行《电镀污染物排放标准》(GB21900-2008)中表2排放标准。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生活污水由化粪池处理</w:t>
                  </w:r>
                  <w:r>
                    <w:rPr>
                      <w:rFonts w:hint="eastAsia" w:ascii="Times New Roman" w:hAnsi="Times New Roman" w:cs="Times New Roman"/>
                      <w:color w:val="000000"/>
                      <w:sz w:val="21"/>
                      <w:szCs w:val="21"/>
                      <w:lang w:val="en-US" w:eastAsia="zh-CN" w:bidi="ar-SA"/>
                    </w:rPr>
                    <w:t>，生产废水经厂区内污水处理站处理后</w:t>
                  </w:r>
                  <w:r>
                    <w:rPr>
                      <w:rFonts w:hint="default" w:ascii="Times New Roman" w:hAnsi="Times New Roman" w:cs="Times New Roman" w:eastAsiaTheme="minorEastAsia"/>
                      <w:color w:val="000000"/>
                      <w:sz w:val="21"/>
                      <w:szCs w:val="21"/>
                      <w:lang w:val="en-US" w:eastAsia="zh-CN" w:bidi="ar-SA"/>
                    </w:rPr>
                    <w:t>，</w:t>
                  </w:r>
                  <w:r>
                    <w:rPr>
                      <w:rFonts w:hint="eastAsia" w:ascii="Times New Roman" w:hAnsi="Times New Roman" w:cs="Times New Roman"/>
                      <w:color w:val="000000"/>
                      <w:sz w:val="21"/>
                      <w:szCs w:val="21"/>
                      <w:lang w:val="en-US" w:eastAsia="zh-CN" w:bidi="ar-SA"/>
                    </w:rPr>
                    <w:t>经</w:t>
                  </w:r>
                  <w:r>
                    <w:rPr>
                      <w:rFonts w:hint="default" w:ascii="Times New Roman" w:hAnsi="Times New Roman" w:cs="Times New Roman" w:eastAsiaTheme="minorEastAsia"/>
                      <w:color w:val="000000"/>
                      <w:sz w:val="21"/>
                      <w:szCs w:val="21"/>
                      <w:lang w:val="en-US" w:eastAsia="zh-CN" w:bidi="ar-SA"/>
                    </w:rPr>
                    <w:t>污水管网</w:t>
                  </w:r>
                  <w:r>
                    <w:rPr>
                      <w:rFonts w:hint="eastAsia" w:ascii="Times New Roman" w:hAnsi="Times New Roman" w:cs="Times New Roman"/>
                      <w:color w:val="000000"/>
                      <w:sz w:val="21"/>
                      <w:szCs w:val="21"/>
                      <w:lang w:val="en-US" w:eastAsia="zh-CN" w:bidi="ar-SA"/>
                    </w:rPr>
                    <w:t>排</w:t>
                  </w:r>
                  <w:r>
                    <w:rPr>
                      <w:rFonts w:hint="default" w:ascii="Times New Roman" w:hAnsi="Times New Roman" w:cs="Times New Roman" w:eastAsiaTheme="minorEastAsia"/>
                      <w:color w:val="000000"/>
                      <w:sz w:val="21"/>
                      <w:szCs w:val="21"/>
                      <w:lang w:val="en-US" w:eastAsia="zh-CN" w:bidi="ar-SA"/>
                    </w:rPr>
                    <w:t>入</w:t>
                  </w:r>
                  <w:r>
                    <w:rPr>
                      <w:rFonts w:hint="eastAsia" w:ascii="Times New Roman" w:hAnsi="Times New Roman" w:cs="Times New Roman"/>
                      <w:color w:val="000000"/>
                      <w:sz w:val="21"/>
                      <w:szCs w:val="21"/>
                      <w:lang w:val="en-US" w:eastAsia="zh-CN" w:bidi="ar-SA"/>
                    </w:rPr>
                    <w:t>港口</w:t>
                  </w:r>
                  <w:r>
                    <w:rPr>
                      <w:rFonts w:hint="default" w:ascii="Times New Roman" w:hAnsi="Times New Roman" w:cs="Times New Roman" w:eastAsiaTheme="minorEastAsia"/>
                      <w:color w:val="000000"/>
                      <w:sz w:val="21"/>
                      <w:szCs w:val="21"/>
                      <w:lang w:val="en-US" w:eastAsia="zh-CN" w:bidi="ar-SA"/>
                    </w:rPr>
                    <w:t>污水处理厂处理，处理达标后尾水排入</w:t>
                  </w:r>
                  <w:r>
                    <w:rPr>
                      <w:rFonts w:hint="eastAsia" w:ascii="Times New Roman" w:hAnsi="Times New Roman" w:cs="Times New Roman"/>
                      <w:color w:val="000000"/>
                      <w:sz w:val="21"/>
                      <w:szCs w:val="21"/>
                      <w:lang w:val="en-US" w:eastAsia="zh-CN" w:bidi="ar-SA"/>
                    </w:rPr>
                    <w:t>水阳江</w:t>
                  </w:r>
                  <w:r>
                    <w:rPr>
                      <w:rFonts w:hint="default" w:ascii="Times New Roman" w:hAnsi="Times New Roman" w:cs="Times New Roman" w:eastAsiaTheme="minorEastAsia"/>
                      <w:color w:val="00000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项目阳极氧化生产线产生硫酸雾、硝酸雾参照执行《电镀污染物排放标准》 (GB21900-2008)中表5排放限值和表6单位产品基准排气量；其他生产线产生的颗粒物、焊接烟尘、二甲苯、乙酸丁酯、丙酮、非甲烷总烃参照执行《大气污染物综合排放标准 上海市地方标准》(DB31/933-2015)中表 1和表 3 排放限值；熔化炉产生的颗粒物、二氧化硫、氮氧化物参照执行《工业炉窑大气污染物综合治理方案》(环大气[2019]56 号)中关于颗粒物、二氧化硫、氮氧化物的排放限值；氨气执行《恶臭污染物排放标准》(GB14554-1993)；有机废气无组织排放执行《挥发性有机物无组织排放控制标准》 (GB37822-2019)中表A1特别排放限值；食堂油烟排放参照执行《饮食业油烟排放标准(试行)》(GB18483-2001)标准。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喷砂废气经</w:t>
                  </w:r>
                  <w:r>
                    <w:rPr>
                      <w:rFonts w:hint="eastAsia" w:ascii="Times New Roman" w:hAnsi="Times New Roman" w:cs="Times New Roman"/>
                      <w:color w:val="000000"/>
                      <w:sz w:val="21"/>
                      <w:szCs w:val="21"/>
                      <w:lang w:val="en-US" w:eastAsia="zh-CN" w:bidi="ar-SA"/>
                    </w:rPr>
                    <w:t>二级</w:t>
                  </w:r>
                  <w:r>
                    <w:rPr>
                      <w:rFonts w:hint="default" w:ascii="Times New Roman" w:hAnsi="Times New Roman" w:cs="Times New Roman" w:eastAsiaTheme="minorEastAsia"/>
                      <w:color w:val="000000"/>
                      <w:sz w:val="21"/>
                      <w:szCs w:val="21"/>
                      <w:lang w:val="en-US" w:eastAsia="zh-CN" w:bidi="ar-SA"/>
                    </w:rPr>
                    <w:t>布袋除尘器处理后，通过1根20m高排气筒（DA001）排放；阳极氧化废气产生的硫酸雾、氮氧化物经两侧槽边抽风+顶部抽风收集，通过两套碱液喷淋塔处理后，通过2根20m高排气筒（DA002、DA003）排放；丙酮擦拭废气采用无尘室+集气罩收集后，经两级活性炭处理后，通过1根20m高排气筒（DA004）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该项目噪声执行《工业企业厂界环境噪声排放标准》(GB12348-2008)中的3类标准。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项目采</w:t>
                  </w:r>
                  <w:r>
                    <w:rPr>
                      <w:rFonts w:hint="default" w:ascii="Times New Roman" w:hAnsi="Times New Roman" w:cs="Times New Roman"/>
                      <w:color w:val="000000"/>
                      <w:sz w:val="21"/>
                      <w:szCs w:val="21"/>
                      <w:lang w:val="en-US" w:eastAsia="zh-CN" w:bidi="ar-SA"/>
                    </w:rPr>
                    <w:t>用低噪声设备，并通过优化车间内设备布局，采取隔声减振等降噪措施</w:t>
                  </w:r>
                  <w:r>
                    <w:rPr>
                      <w:rFonts w:hint="default" w:ascii="Times New Roman" w:hAnsi="Times New Roman" w:cs="Times New Roman" w:eastAsiaTheme="minorEastAsia"/>
                      <w:color w:val="000000"/>
                      <w:sz w:val="21"/>
                      <w:szCs w:val="21"/>
                      <w:lang w:val="en-US" w:eastAsia="zh-CN" w:bidi="ar-SA"/>
                    </w:rPr>
                    <w:t>降低噪声对环境的影响。厂界噪声满足《工业企业厂界环境噪声排放标准》（GB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该项目固体废弃物执行《一般工业固体废弃物贮存、处置场污染控制标准》 (GB18599-2001)及其修改单，危险废物执行《危险废物贮存污染控制标准》 (GB12348-2008)及其修改单。</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项目产生的固废主要包括一般固废、危险废物及生活垃圾。一般固废有废包装袋、布袋收集的粉尘</w:t>
                  </w:r>
                  <w:r>
                    <w:rPr>
                      <w:rFonts w:hint="eastAsia" w:ascii="Times New Roman" w:hAnsi="Times New Roman" w:eastAsia="宋体" w:cs="Times New Roman"/>
                      <w:b w:val="0"/>
                      <w:bCs w:val="0"/>
                      <w:color w:val="auto"/>
                      <w:sz w:val="21"/>
                      <w:szCs w:val="21"/>
                      <w:lang w:eastAsia="zh-CN"/>
                    </w:rPr>
                    <w:t>、废离子交换树脂</w:t>
                  </w:r>
                  <w:r>
                    <w:rPr>
                      <w:rFonts w:hint="default" w:ascii="Times New Roman" w:hAnsi="Times New Roman" w:eastAsia="宋体" w:cs="Times New Roman"/>
                      <w:b w:val="0"/>
                      <w:bCs w:val="0"/>
                      <w:color w:val="auto"/>
                      <w:sz w:val="21"/>
                      <w:szCs w:val="21"/>
                      <w:lang w:eastAsia="zh-CN"/>
                    </w:rPr>
                    <w:t>收集后由物资公司回收。危险废物有污水处理站污泥、废过滤芯、阳极槽废液、槽渣、废活性炭、废酸碱包装桶，暂存于危废库中，公司已与宁国海螺环保科技有限责任公司签订危废处置协议，收集后交其处置。生活垃圾收集后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项目总量控制指标烟粉尘为1.376t/a，VOCs为1.038t/a，SO2为0.8t/a，NOx为5.201t/a，COD为8.127t/a，NH3-N为0.38t/a。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000000"/>
                      <w:sz w:val="21"/>
                      <w:szCs w:val="21"/>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654" w:type="pct"/>
                  <w:tcBorders>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落实</w:t>
                  </w:r>
                </w:p>
                <w:p>
                  <w:pPr>
                    <w:pStyle w:val="21"/>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lang w:val="en-US" w:eastAsia="zh-CN"/>
                    </w:rPr>
                    <w:t>本次申请验收。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项目建成后，严格执行排污许可制度</w:t>
                  </w:r>
                  <w:r>
                    <w:rPr>
                      <w:rFonts w:hint="eastAsia" w:ascii="Times New Roman" w:hAnsi="Times New Roman" w:eastAsia="宋体" w:cs="Times New Roman"/>
                      <w:color w:val="000000"/>
                      <w:sz w:val="21"/>
                      <w:szCs w:val="21"/>
                      <w:lang w:eastAsia="zh-CN"/>
                    </w:rPr>
                    <w:t>。</w:t>
                  </w:r>
                </w:p>
              </w:tc>
              <w:tc>
                <w:tcPr>
                  <w:tcW w:w="2654" w:type="pct"/>
                  <w:tcBorders>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落实</w:t>
                  </w:r>
                </w:p>
                <w:p>
                  <w:pPr>
                    <w:pStyle w:val="21"/>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安徽舜派金属科技有限公司排污许可证于</w:t>
                  </w:r>
                  <w:r>
                    <w:rPr>
                      <w:rFonts w:hint="eastAsia" w:ascii="Times New Roman" w:hAnsi="Times New Roman" w:cs="Times New Roman"/>
                      <w:lang w:val="en-US" w:eastAsia="zh-CN"/>
                    </w:rPr>
                    <w:t>2023</w:t>
                  </w:r>
                  <w:r>
                    <w:rPr>
                      <w:rFonts w:hint="default" w:ascii="Times New Roman" w:hAnsi="Times New Roman" w:cs="Times New Roman"/>
                      <w:lang w:val="en-US" w:eastAsia="zh-CN"/>
                    </w:rPr>
                    <w:t>年</w:t>
                  </w:r>
                  <w:r>
                    <w:rPr>
                      <w:rFonts w:hint="eastAsia" w:ascii="Times New Roman" w:hAnsi="Times New Roman" w:cs="Times New Roman"/>
                      <w:lang w:val="en-US" w:eastAsia="zh-CN"/>
                    </w:rPr>
                    <w:t>10</w:t>
                  </w:r>
                  <w:r>
                    <w:rPr>
                      <w:rFonts w:hint="default" w:ascii="Times New Roman" w:hAnsi="Times New Roman" w:cs="Times New Roman"/>
                      <w:lang w:val="en-US" w:eastAsia="zh-CN"/>
                    </w:rPr>
                    <w:t>月</w:t>
                  </w:r>
                  <w:r>
                    <w:rPr>
                      <w:rFonts w:hint="eastAsia" w:ascii="Times New Roman" w:hAnsi="Times New Roman" w:cs="Times New Roman"/>
                      <w:lang w:val="en-US" w:eastAsia="zh-CN"/>
                    </w:rPr>
                    <w:t>27</w:t>
                  </w:r>
                  <w:r>
                    <w:rPr>
                      <w:rFonts w:hint="default" w:ascii="Times New Roman" w:hAnsi="Times New Roman" w:cs="Times New Roman"/>
                      <w:lang w:val="en-US" w:eastAsia="zh-CN"/>
                    </w:rPr>
                    <w:t>日发证，有效期为2023年</w:t>
                  </w:r>
                  <w:r>
                    <w:rPr>
                      <w:rFonts w:hint="eastAsia" w:ascii="Times New Roman" w:hAnsi="Times New Roman" w:cs="Times New Roman"/>
                      <w:lang w:val="en-US" w:eastAsia="zh-CN"/>
                    </w:rPr>
                    <w:t>10</w:t>
                  </w:r>
                  <w:r>
                    <w:rPr>
                      <w:rFonts w:hint="default" w:ascii="Times New Roman" w:hAnsi="Times New Roman" w:cs="Times New Roman"/>
                      <w:lang w:val="en-US" w:eastAsia="zh-CN"/>
                    </w:rPr>
                    <w:t>月2</w:t>
                  </w:r>
                  <w:r>
                    <w:rPr>
                      <w:rFonts w:hint="eastAsia" w:ascii="Times New Roman" w:hAnsi="Times New Roman" w:cs="Times New Roman"/>
                      <w:lang w:val="en-US" w:eastAsia="zh-CN"/>
                    </w:rPr>
                    <w:t>7</w:t>
                  </w:r>
                  <w:r>
                    <w:rPr>
                      <w:rFonts w:hint="default" w:ascii="Times New Roman" w:hAnsi="Times New Roman" w:cs="Times New Roman"/>
                      <w:lang w:val="en-US" w:eastAsia="zh-CN"/>
                    </w:rPr>
                    <w:t>日至2028年</w:t>
                  </w:r>
                  <w:r>
                    <w:rPr>
                      <w:rFonts w:hint="eastAsia" w:ascii="Times New Roman" w:hAnsi="Times New Roman" w:cs="Times New Roman"/>
                      <w:lang w:val="en-US" w:eastAsia="zh-CN"/>
                    </w:rPr>
                    <w:t>10</w:t>
                  </w:r>
                  <w:r>
                    <w:rPr>
                      <w:rFonts w:hint="default" w:ascii="Times New Roman" w:hAnsi="Times New Roman" w:cs="Times New Roman"/>
                      <w:lang w:val="en-US" w:eastAsia="zh-CN"/>
                    </w:rPr>
                    <w:t>月2</w:t>
                  </w:r>
                  <w:r>
                    <w:rPr>
                      <w:rFonts w:hint="eastAsia" w:ascii="Times New Roman" w:hAnsi="Times New Roman" w:cs="Times New Roman"/>
                      <w:lang w:val="en-US" w:eastAsia="zh-CN"/>
                    </w:rPr>
                    <w:t>6</w:t>
                  </w:r>
                  <w:r>
                    <w:rPr>
                      <w:rFonts w:hint="default" w:ascii="Times New Roman" w:hAnsi="Times New Roman" w:cs="Times New Roman"/>
                      <w:lang w:val="en-US" w:eastAsia="zh-CN"/>
                    </w:rPr>
                    <w:t>日。证书编号：</w:t>
                  </w:r>
                  <w:r>
                    <w:rPr>
                      <w:rFonts w:hint="eastAsia" w:ascii="Times New Roman" w:hAnsi="Times New Roman" w:cs="Times New Roman"/>
                      <w:lang w:val="en-US" w:eastAsia="zh-CN"/>
                    </w:rPr>
                    <w:t>91341881MA2W271H5Q001Q</w:t>
                  </w:r>
                  <w:r>
                    <w:rPr>
                      <w:rFonts w:hint="default" w:ascii="Times New Roman" w:hAnsi="Times New Roman" w:cs="Times New Roman"/>
                      <w:lang w:val="en-US" w:eastAsia="zh-CN"/>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监测质量保证管理规定（暂行）》及相关环境监测技术规范的要求进行，实施全程序质量控制。项目检测前，相关部门根据检测方案制定了详细的质量控制计划，并按照计划实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（3）合理布设检测点位，保证各检测点位布设的科学性和可比性。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（4）检测人员经考核并持有合格证书，所有检测仪器经过计量部门检定并在有效期内。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（5）现场采样、保存及实验分析阶段均采取相关质控措施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第四版）进行。采样时企业正常生产且在额定生产负荷的工况下稳定运行，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② 噪声检测方法按《工业企业厂界环境噪声排放标准》（GB12348-2008）要求进行，采用等效声级Leq（A）值为进行了评价，各项质控措施和结果满足相关规范的要求。评价量，统计声级 L10 、L50 、L90 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3" w:name="_Toc6477"/>
            <w:r>
              <w:rPr>
                <w:rFonts w:hint="default" w:ascii="Times New Roman" w:hAnsi="Times New Roman" w:eastAsia="宋体" w:cs="Times New Roman"/>
                <w:sz w:val="24"/>
                <w:szCs w:val="24"/>
                <w:lang w:val="en-US" w:eastAsia="zh-CN"/>
              </w:rPr>
              <w:t>1、废水</w:t>
            </w:r>
            <w:bookmarkEnd w:id="3"/>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表10-1 废水监测内容一览表</w:t>
            </w:r>
          </w:p>
          <w:tbl>
            <w:tblPr>
              <w:tblStyle w:val="1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822"/>
              <w:gridCol w:w="2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0"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right w:val="single" w:color="auto" w:sz="12"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4" w:space="0"/>
                  </w:tcBorders>
                  <w:noWrap w:val="0"/>
                  <w:vAlign w:val="center"/>
                </w:tcPr>
                <w:p>
                  <w:pPr>
                    <w:pStyle w:val="21"/>
                    <w:spacing w:line="240" w:lineRule="auto"/>
                    <w:jc w:val="center"/>
                    <w:rPr>
                      <w:rFonts w:hint="default" w:ascii="Times New Roman" w:hAnsi="Times New Roman" w:cs="Times New Roman"/>
                      <w:lang w:val="en-US" w:eastAsia="zh-CN"/>
                    </w:rPr>
                  </w:pPr>
                  <w:bookmarkStart w:id="4" w:name="_Toc5005"/>
                  <w:r>
                    <w:rPr>
                      <w:rFonts w:hint="eastAsia" w:ascii="Times New Roman" w:hAnsi="Times New Roman" w:cs="Times New Roman"/>
                      <w:lang w:val="en-US" w:eastAsia="zh-CN"/>
                    </w:rPr>
                    <w:t>污水处理站进出口</w:t>
                  </w:r>
                </w:p>
              </w:tc>
              <w:tc>
                <w:tcPr>
                  <w:tcW w:w="3822" w:type="dxa"/>
                  <w:noWrap w:val="0"/>
                  <w:vAlign w:val="center"/>
                </w:tcPr>
                <w:p>
                  <w:pPr>
                    <w:pStyle w:val="21"/>
                    <w:spacing w:line="240" w:lineRule="auto"/>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pH、</w:t>
                  </w: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r>
                    <w:rPr>
                      <w:rFonts w:hint="default" w:ascii="Times New Roman" w:hAnsi="Times New Roman" w:cs="Times New Roman"/>
                      <w:lang w:eastAsia="zh-CN"/>
                    </w:rPr>
                    <w:t>、</w:t>
                  </w:r>
                  <w:r>
                    <w:rPr>
                      <w:rFonts w:hint="default" w:ascii="Times New Roman" w:hAnsi="Times New Roman" w:cs="Times New Roman"/>
                      <w:kern w:val="0"/>
                      <w:szCs w:val="21"/>
                    </w:rPr>
                    <w:t>石油类</w:t>
                  </w:r>
                  <w:r>
                    <w:rPr>
                      <w:rFonts w:hint="default" w:ascii="Times New Roman" w:hAnsi="Times New Roman" w:cs="Times New Roman"/>
                      <w:kern w:val="0"/>
                      <w:szCs w:val="21"/>
                      <w:lang w:eastAsia="zh-CN"/>
                    </w:rPr>
                    <w:t>、</w:t>
                  </w:r>
                  <w:r>
                    <w:rPr>
                      <w:rFonts w:hint="eastAsia" w:ascii="Times New Roman" w:hAnsi="Times New Roman" w:cs="Times New Roman"/>
                      <w:kern w:val="0"/>
                      <w:szCs w:val="21"/>
                      <w:lang w:val="en-US" w:eastAsia="zh-CN"/>
                    </w:rPr>
                    <w:t>总氮、铝、锌</w:t>
                  </w:r>
                </w:p>
              </w:tc>
              <w:tc>
                <w:tcPr>
                  <w:tcW w:w="2449" w:type="dxa"/>
                  <w:tcBorders>
                    <w:right w:val="single" w:color="auto" w:sz="12" w:space="0"/>
                  </w:tcBorders>
                  <w:noWrap w:val="0"/>
                  <w:vAlign w:val="center"/>
                </w:tcPr>
                <w:p>
                  <w:pPr>
                    <w:pStyle w:val="21"/>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批次/</w:t>
                  </w:r>
                  <w:r>
                    <w:rPr>
                      <w:rFonts w:hint="eastAsia" w:ascii="Times New Roman" w:hAnsi="Times New Roman" w:cs="Times New Roman"/>
                      <w:lang w:val="en-US" w:eastAsia="zh-CN"/>
                    </w:rPr>
                    <w:t>2</w:t>
                  </w:r>
                  <w:r>
                    <w:rPr>
                      <w:rFonts w:hint="default" w:ascii="Times New Roman" w:hAnsi="Times New Roman" w:cs="Times New Roman"/>
                    </w:rPr>
                    <w:t>点/</w:t>
                  </w:r>
                  <w:r>
                    <w:rPr>
                      <w:rFonts w:hint="eastAsia" w:ascii="Times New Roman" w:hAnsi="Times New Roman" w:cs="Times New Roman"/>
                      <w:lang w:val="en-US" w:eastAsia="zh-CN"/>
                    </w:rPr>
                    <w:t>2</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表10-2 废气监测内容一览表</w:t>
            </w:r>
          </w:p>
          <w:tbl>
            <w:tblPr>
              <w:tblStyle w:val="1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3387"/>
              <w:gridCol w:w="2903"/>
              <w:gridCol w:w="13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eastAsia" w:ascii="Times New Roman" w:hAnsi="Times New Roman" w:cs="Times New Roman"/>
                      <w:lang w:val="en-US" w:eastAsia="zh-CN"/>
                    </w:rPr>
                    <w:t>喷砂</w:t>
                  </w:r>
                  <w:r>
                    <w:rPr>
                      <w:rFonts w:hint="default" w:ascii="Times New Roman" w:hAnsi="Times New Roman" w:cs="Times New Roman"/>
                      <w:lang w:val="en-US" w:eastAsia="zh-CN"/>
                    </w:rPr>
                    <w:t>废气排气筒（DA001）进出口</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颗粒物</w:t>
                  </w:r>
                </w:p>
              </w:tc>
              <w:tc>
                <w:tcPr>
                  <w:tcW w:w="795"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阳极氧化废气排气筒</w:t>
                  </w:r>
                  <w:r>
                    <w:rPr>
                      <w:rFonts w:hint="default" w:ascii="Times New Roman" w:hAnsi="Times New Roman" w:cs="Times New Roman"/>
                      <w:lang w:val="en-US" w:eastAsia="zh-CN"/>
                    </w:rPr>
                    <w:t>（DA00</w:t>
                  </w:r>
                  <w:r>
                    <w:rPr>
                      <w:rFonts w:hint="eastAsia" w:ascii="Times New Roman" w:hAnsi="Times New Roman" w:cs="Times New Roman"/>
                      <w:lang w:val="en-US" w:eastAsia="zh-CN"/>
                    </w:rPr>
                    <w:t>2</w:t>
                  </w:r>
                  <w:r>
                    <w:rPr>
                      <w:rFonts w:hint="default" w:ascii="Times New Roman" w:hAnsi="Times New Roman" w:cs="Times New Roman"/>
                      <w:lang w:val="en-US" w:eastAsia="zh-CN"/>
                    </w:rPr>
                    <w:t>）进出口</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硫酸雾、氮氧化物</w:t>
                  </w:r>
                </w:p>
              </w:tc>
              <w:tc>
                <w:tcPr>
                  <w:tcW w:w="7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阳极氧化废气排气筒</w:t>
                  </w:r>
                  <w:r>
                    <w:rPr>
                      <w:rFonts w:hint="default" w:ascii="Times New Roman" w:hAnsi="Times New Roman" w:cs="Times New Roman"/>
                      <w:lang w:val="en-US" w:eastAsia="zh-CN"/>
                    </w:rPr>
                    <w:t>（DA00</w:t>
                  </w:r>
                  <w:r>
                    <w:rPr>
                      <w:rFonts w:hint="eastAsia" w:ascii="Times New Roman" w:hAnsi="Times New Roman" w:cs="Times New Roman"/>
                      <w:lang w:val="en-US" w:eastAsia="zh-CN"/>
                    </w:rPr>
                    <w:t>3</w:t>
                  </w:r>
                  <w:r>
                    <w:rPr>
                      <w:rFonts w:hint="default" w:ascii="Times New Roman" w:hAnsi="Times New Roman" w:cs="Times New Roman"/>
                      <w:lang w:val="en-US" w:eastAsia="zh-CN"/>
                    </w:rPr>
                    <w:t>）进出口</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硫酸雾、氮氧化物</w:t>
                  </w:r>
                </w:p>
              </w:tc>
              <w:tc>
                <w:tcPr>
                  <w:tcW w:w="7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丙酮擦拭废气排气筒</w:t>
                  </w:r>
                  <w:r>
                    <w:rPr>
                      <w:rFonts w:hint="default" w:ascii="Times New Roman" w:hAnsi="Times New Roman" w:cs="Times New Roman"/>
                      <w:lang w:val="en-US" w:eastAsia="zh-CN"/>
                    </w:rPr>
                    <w:t>（DA00</w:t>
                  </w:r>
                  <w:r>
                    <w:rPr>
                      <w:rFonts w:hint="eastAsia" w:ascii="Times New Roman" w:hAnsi="Times New Roman" w:cs="Times New Roman"/>
                      <w:lang w:val="en-US" w:eastAsia="zh-CN"/>
                    </w:rPr>
                    <w:t>4</w:t>
                  </w:r>
                  <w:r>
                    <w:rPr>
                      <w:rFonts w:hint="default" w:ascii="Times New Roman" w:hAnsi="Times New Roman" w:cs="Times New Roman"/>
                      <w:lang w:val="en-US" w:eastAsia="zh-CN"/>
                    </w:rPr>
                    <w:t>）进出口</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丙酮</w:t>
                  </w:r>
                </w:p>
              </w:tc>
              <w:tc>
                <w:tcPr>
                  <w:tcW w:w="7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8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eastAsia="zh-CN"/>
                    </w:rPr>
                  </w:pPr>
                  <w:r>
                    <w:rPr>
                      <w:rFonts w:hint="eastAsia" w:ascii="Times New Roman" w:hAnsi="Times New Roman" w:cs="Times New Roman"/>
                      <w:lang w:eastAsia="zh-CN"/>
                    </w:rPr>
                    <w:t>厂界</w:t>
                  </w:r>
                </w:p>
              </w:tc>
              <w:tc>
                <w:tcPr>
                  <w:tcW w:w="1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颗粒物</w:t>
                  </w:r>
                  <w:r>
                    <w:rPr>
                      <w:rFonts w:hint="eastAsia" w:ascii="Times New Roman" w:hAnsi="Times New Roman" w:cs="Times New Roman"/>
                      <w:lang w:val="en-US" w:eastAsia="zh-CN"/>
                    </w:rPr>
                    <w:t>、丙酮</w:t>
                  </w:r>
                </w:p>
              </w:tc>
              <w:tc>
                <w:tcPr>
                  <w:tcW w:w="795"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3批次/3点/2天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 厂界噪声</w:t>
            </w:r>
            <w:bookmarkEnd w:id="4"/>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表10-3 噪声监测内容一览表</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00"/>
              <w:gridCol w:w="2258"/>
              <w:gridCol w:w="2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tl2br w:val="nil"/>
                    <w:tr2bl w:val="nil"/>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tcBorders>
                    <w:tl2br w:val="nil"/>
                    <w:tr2bl w:val="nil"/>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tl2br w:val="nil"/>
                    <w:tr2bl w:val="nil"/>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tl2br w:val="nil"/>
                    <w:tr2bl w:val="nil"/>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tcBorders>
                    <w:tl2br w:val="nil"/>
                    <w:tr2bl w:val="nil"/>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tl2br w:val="nil"/>
                    <w:tr2bl w:val="nil"/>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本</w:t>
            </w:r>
            <w:r>
              <w:rPr>
                <w:rFonts w:hint="default" w:ascii="Times New Roman" w:hAnsi="Times New Roman" w:cs="Times New Roman" w:eastAsiaTheme="minorEastAsia"/>
                <w:sz w:val="24"/>
                <w:szCs w:val="24"/>
              </w:rPr>
              <w:t>项目</w:t>
            </w:r>
            <w:r>
              <w:rPr>
                <w:rFonts w:hint="eastAsia" w:ascii="Times New Roman" w:hAnsi="Times New Roman" w:cs="Times New Roman"/>
                <w:color w:val="auto"/>
                <w:sz w:val="24"/>
                <w:lang w:eastAsia="zh-CN"/>
              </w:rPr>
              <w:t>喷砂废气中颗粒物排放满足</w:t>
            </w:r>
            <w:r>
              <w:rPr>
                <w:rFonts w:hint="default" w:ascii="Times New Roman" w:hAnsi="Times New Roman" w:cs="Times New Roman"/>
                <w:color w:val="auto"/>
                <w:sz w:val="24"/>
              </w:rPr>
              <w:t>上海市《大气污染物综合排放标准》（DB31/933-2015）中标准</w:t>
            </w:r>
            <w:r>
              <w:rPr>
                <w:rFonts w:hint="eastAsia" w:ascii="Times New Roman" w:hAnsi="Times New Roman" w:cs="Times New Roman"/>
                <w:color w:val="auto"/>
                <w:sz w:val="24"/>
                <w:lang w:eastAsia="zh-CN"/>
              </w:rPr>
              <w:t>；阳极氧化工段中产生的工艺废气硫酸雾、氮氧化物排放满足《电镀污染物排放标准》（GB21900-2008）中标准；</w:t>
            </w:r>
            <w:r>
              <w:rPr>
                <w:rFonts w:hint="default" w:ascii="Times New Roman" w:hAnsi="Times New Roman" w:cs="Times New Roman"/>
                <w:color w:val="auto"/>
                <w:sz w:val="24"/>
              </w:rPr>
              <w:t>丙酮擦拭过程产生的丙酮排放</w:t>
            </w:r>
            <w:r>
              <w:rPr>
                <w:rFonts w:hint="eastAsia" w:ascii="Times New Roman" w:hAnsi="Times New Roman" w:cs="Times New Roman"/>
                <w:color w:val="auto"/>
                <w:sz w:val="24"/>
                <w:lang w:eastAsia="zh-CN"/>
              </w:rPr>
              <w:t>满足</w:t>
            </w:r>
            <w:r>
              <w:rPr>
                <w:rFonts w:hint="default" w:ascii="Times New Roman" w:hAnsi="Times New Roman" w:cs="Times New Roman"/>
                <w:color w:val="auto"/>
                <w:sz w:val="24"/>
              </w:rPr>
              <w:t>上海市《大气污染物综合排放标准》（DB31/933-2015）中标准。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eastAsia" w:ascii="仿宋" w:hAnsi="仿宋" w:eastAsia="仿宋" w:cs="仿宋"/>
                <w:b/>
                <w:bCs/>
                <w:sz w:val="24"/>
                <w:szCs w:val="24"/>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-1 </w:t>
            </w:r>
            <w:r>
              <w:rPr>
                <w:rFonts w:hint="eastAsia" w:ascii="Times New Roman" w:hAnsi="Times New Roman" w:cs="Times New Roman"/>
                <w:b/>
                <w:bCs/>
                <w:sz w:val="21"/>
                <w:szCs w:val="21"/>
                <w:lang w:val="en-US" w:eastAsia="zh-CN"/>
              </w:rPr>
              <w:t>喷砂</w:t>
            </w:r>
            <w:r>
              <w:rPr>
                <w:rFonts w:hint="default" w:ascii="Times New Roman" w:hAnsi="Times New Roman" w:cs="Times New Roman"/>
                <w:b/>
                <w:bCs/>
                <w:sz w:val="21"/>
                <w:szCs w:val="21"/>
                <w:lang w:val="en-US" w:eastAsia="zh-CN"/>
              </w:rPr>
              <w:t>废气排放监测结果</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26"/>
              <w:gridCol w:w="1339"/>
              <w:gridCol w:w="1103"/>
              <w:gridCol w:w="308"/>
              <w:gridCol w:w="1525"/>
              <w:gridCol w:w="686"/>
              <w:gridCol w:w="725"/>
              <w:gridCol w:w="587"/>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采样时间</w:t>
                  </w:r>
                </w:p>
              </w:tc>
              <w:tc>
                <w:tcPr>
                  <w:tcW w:w="17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p>
              </w:tc>
              <w:tc>
                <w:tcPr>
                  <w:tcW w:w="11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257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2023.08.16</w:t>
                  </w:r>
                </w:p>
              </w:tc>
              <w:tc>
                <w:tcPr>
                  <w:tcW w:w="134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7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1774"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5825"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74"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13:24～13:44</w:t>
                  </w:r>
                </w:p>
              </w:tc>
              <w:tc>
                <w:tcPr>
                  <w:tcW w:w="15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13:47～14:07</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14:10～14:30</w:t>
                  </w:r>
                </w:p>
              </w:tc>
              <w:tc>
                <w:tcPr>
                  <w:tcW w:w="139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喷砂废气排气筒进口（DA00</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w:t>
                  </w:r>
                </w:p>
              </w:tc>
              <w:tc>
                <w:tcPr>
                  <w:tcW w:w="17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5020</w:t>
                  </w:r>
                </w:p>
              </w:tc>
              <w:tc>
                <w:tcPr>
                  <w:tcW w:w="15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5499</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6621</w:t>
                  </w:r>
                </w:p>
              </w:tc>
              <w:tc>
                <w:tcPr>
                  <w:tcW w:w="139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42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颗粒物</w:t>
                  </w:r>
                </w:p>
              </w:tc>
              <w:tc>
                <w:tcPr>
                  <w:tcW w:w="134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4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37.0</w:t>
                  </w:r>
                </w:p>
              </w:tc>
              <w:tc>
                <w:tcPr>
                  <w:tcW w:w="1544"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31.1</w:t>
                  </w:r>
                </w:p>
              </w:tc>
              <w:tc>
                <w:tcPr>
                  <w:tcW w:w="14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28.8</w:t>
                  </w:r>
                </w:p>
              </w:tc>
              <w:tc>
                <w:tcPr>
                  <w:tcW w:w="13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42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kern w:val="2"/>
                      <w:sz w:val="21"/>
                      <w:szCs w:val="21"/>
                      <w:lang w:val="en-US" w:eastAsia="zh-CN" w:bidi="ar-SA"/>
                    </w:rPr>
                  </w:pPr>
                </w:p>
              </w:tc>
              <w:tc>
                <w:tcPr>
                  <w:tcW w:w="134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(kg/h)</w:t>
                  </w:r>
                </w:p>
              </w:tc>
              <w:tc>
                <w:tcPr>
                  <w:tcW w:w="14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0.186</w:t>
                  </w:r>
                </w:p>
              </w:tc>
              <w:tc>
                <w:tcPr>
                  <w:tcW w:w="1544"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0.171</w:t>
                  </w:r>
                </w:p>
              </w:tc>
              <w:tc>
                <w:tcPr>
                  <w:tcW w:w="14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0.191</w:t>
                  </w:r>
                </w:p>
              </w:tc>
              <w:tc>
                <w:tcPr>
                  <w:tcW w:w="13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喷砂废气排气筒出口（DA00</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w:t>
                  </w:r>
                </w:p>
              </w:tc>
              <w:tc>
                <w:tcPr>
                  <w:tcW w:w="17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13:24～13:44</w:t>
                  </w:r>
                </w:p>
              </w:tc>
              <w:tc>
                <w:tcPr>
                  <w:tcW w:w="15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13:47～14:07</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14:11～14:31</w:t>
                  </w:r>
                </w:p>
              </w:tc>
              <w:tc>
                <w:tcPr>
                  <w:tcW w:w="139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5631</w:t>
                  </w:r>
                </w:p>
              </w:tc>
              <w:tc>
                <w:tcPr>
                  <w:tcW w:w="15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5759</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6882</w:t>
                  </w:r>
                </w:p>
              </w:tc>
              <w:tc>
                <w:tcPr>
                  <w:tcW w:w="139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6091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42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颗粒物</w:t>
                  </w:r>
                </w:p>
              </w:tc>
              <w:tc>
                <w:tcPr>
                  <w:tcW w:w="134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1.4</w:t>
                  </w:r>
                </w:p>
              </w:tc>
              <w:tc>
                <w:tcPr>
                  <w:tcW w:w="1544"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1.5</w:t>
                  </w:r>
                </w:p>
              </w:tc>
              <w:tc>
                <w:tcPr>
                  <w:tcW w:w="14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1.3</w:t>
                  </w:r>
                </w:p>
              </w:tc>
              <w:tc>
                <w:tcPr>
                  <w:tcW w:w="13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42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kern w:val="2"/>
                      <w:sz w:val="21"/>
                      <w:szCs w:val="21"/>
                      <w:lang w:val="en-US" w:eastAsia="zh-CN" w:bidi="ar-SA"/>
                    </w:rPr>
                  </w:pPr>
                </w:p>
              </w:tc>
              <w:tc>
                <w:tcPr>
                  <w:tcW w:w="134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(kg/h)</w:t>
                  </w:r>
                </w:p>
              </w:tc>
              <w:tc>
                <w:tcPr>
                  <w:tcW w:w="14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0.008</w:t>
                  </w:r>
                </w:p>
              </w:tc>
              <w:tc>
                <w:tcPr>
                  <w:tcW w:w="1544"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0.009</w:t>
                  </w:r>
                </w:p>
              </w:tc>
              <w:tc>
                <w:tcPr>
                  <w:tcW w:w="14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0.009</w:t>
                  </w:r>
                </w:p>
              </w:tc>
              <w:tc>
                <w:tcPr>
                  <w:tcW w:w="13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p>
              </w:tc>
              <w:tc>
                <w:tcPr>
                  <w:tcW w:w="177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96.2%</w:t>
                  </w:r>
                </w:p>
              </w:tc>
              <w:tc>
                <w:tcPr>
                  <w:tcW w:w="15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95.2%</w:t>
                  </w:r>
                </w:p>
              </w:tc>
              <w:tc>
                <w:tcPr>
                  <w:tcW w:w="144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95.5%</w:t>
                  </w:r>
                </w:p>
              </w:tc>
              <w:tc>
                <w:tcPr>
                  <w:tcW w:w="139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7599"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仿宋" w:hAnsi="仿宋" w:eastAsia="仿宋" w:cs="仿宋"/>
                <w:b/>
                <w:bCs/>
                <w:sz w:val="24"/>
                <w:szCs w:val="24"/>
                <w:lang w:val="en-US" w:eastAsia="zh-CN"/>
              </w:rPr>
            </w:pP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26"/>
              <w:gridCol w:w="1243"/>
              <w:gridCol w:w="1093"/>
              <w:gridCol w:w="392"/>
              <w:gridCol w:w="1512"/>
              <w:gridCol w:w="785"/>
              <w:gridCol w:w="703"/>
              <w:gridCol w:w="652"/>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p>
              </w:tc>
              <w:tc>
                <w:tcPr>
                  <w:tcW w:w="6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42"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r>
                    <w:rPr>
                      <w:rFonts w:hint="default" w:ascii="Times New Roman" w:hAnsi="Times New Roman" w:eastAsia="宋体" w:cs="Times New Roman"/>
                      <w:sz w:val="21"/>
                      <w:szCs w:val="21"/>
                      <w:lang w:val="en-US" w:eastAsia="zh-CN"/>
                    </w:rPr>
                    <w:t>～2023.08.16</w:t>
                  </w:r>
                </w:p>
              </w:tc>
              <w:tc>
                <w:tcPr>
                  <w:tcW w:w="77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22"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10:02～10:12</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10:16～10:26</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10:30～10:40</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阳极氧化废气排气筒进口（DA002）</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10476</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11181</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10705</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10787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0.94</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0.91</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0.81</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0.010 </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0.010 </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0.009 </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09:59～10:49</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10:51～11:41</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11:43～12:33</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240</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229</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247</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2.51 </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2.56</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2.64</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阳极氧化废气排气筒出口（DA002）</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09:15～09:25</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09:29～09:39</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09:41～09:51</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15414</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13001</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17775</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15397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0.62</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0.55</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0.52</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0.010 </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0.007 </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0.009 </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6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8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34.0%</w:t>
                  </w:r>
                </w:p>
              </w:tc>
              <w:tc>
                <w:tcPr>
                  <w:tcW w:w="15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39.6%</w:t>
                  </w:r>
                </w:p>
              </w:tc>
              <w:tc>
                <w:tcPr>
                  <w:tcW w:w="14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35.8%</w:t>
                  </w:r>
                </w:p>
              </w:tc>
              <w:tc>
                <w:tcPr>
                  <w:tcW w:w="13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09:00～09:50</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09:52～10:42</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10:45～11:35</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3.79</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4.14</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2.94</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0.058 </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0.054 </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0.052 </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6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8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98.4%</w:t>
                  </w:r>
                </w:p>
              </w:tc>
              <w:tc>
                <w:tcPr>
                  <w:tcW w:w="15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98.2%</w:t>
                  </w:r>
                </w:p>
              </w:tc>
              <w:tc>
                <w:tcPr>
                  <w:tcW w:w="14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98.8%</w:t>
                  </w:r>
                </w:p>
              </w:tc>
              <w:tc>
                <w:tcPr>
                  <w:tcW w:w="13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280"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仿宋" w:hAnsi="仿宋" w:eastAsia="仿宋" w:cs="仿宋"/>
                <w:b/>
                <w:bCs/>
                <w:sz w:val="24"/>
                <w:szCs w:val="24"/>
                <w:lang w:val="en-US" w:eastAsia="zh-CN"/>
              </w:rPr>
            </w:pP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26"/>
              <w:gridCol w:w="1243"/>
              <w:gridCol w:w="1093"/>
              <w:gridCol w:w="392"/>
              <w:gridCol w:w="1512"/>
              <w:gridCol w:w="785"/>
              <w:gridCol w:w="703"/>
              <w:gridCol w:w="652"/>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p>
              </w:tc>
              <w:tc>
                <w:tcPr>
                  <w:tcW w:w="6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42"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r>
                    <w:rPr>
                      <w:rFonts w:hint="default" w:ascii="Times New Roman" w:hAnsi="Times New Roman" w:eastAsia="宋体" w:cs="Times New Roman"/>
                      <w:sz w:val="21"/>
                      <w:szCs w:val="21"/>
                      <w:lang w:val="en-US" w:eastAsia="zh-CN"/>
                    </w:rPr>
                    <w:t>～2023.08.16</w:t>
                  </w:r>
                </w:p>
              </w:tc>
              <w:tc>
                <w:tcPr>
                  <w:tcW w:w="77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22"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11:55～12:05</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12:09～12:19</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12:23～12:33</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阳极氧化废气排气筒进口（DA003）</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15735</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14754</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15694</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15394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0.73</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0.86</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0.014 </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0.011 </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0.013 </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10:07～10:57</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11:00～11:50</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11:53～12:43</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284</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272</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245</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4.47</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4.01 </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3.84</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阳极氧化废气排气筒出口（DA003）</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10:54～11:04</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11:13～11:23</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11:28～11:38</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11405</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11051</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11170</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11209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0.51</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0.40</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0.47</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0.006 </w:t>
                  </w:r>
                </w:p>
              </w:tc>
              <w:tc>
                <w:tcPr>
                  <w:tcW w:w="8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0.004 </w:t>
                  </w:r>
                </w:p>
              </w:tc>
              <w:tc>
                <w:tcPr>
                  <w:tcW w:w="8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0.005 </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6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8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43.3%</w:t>
                  </w:r>
                </w:p>
              </w:tc>
              <w:tc>
                <w:tcPr>
                  <w:tcW w:w="15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45.2%</w:t>
                  </w:r>
                </w:p>
              </w:tc>
              <w:tc>
                <w:tcPr>
                  <w:tcW w:w="14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45.3%</w:t>
                  </w:r>
                </w:p>
              </w:tc>
              <w:tc>
                <w:tcPr>
                  <w:tcW w:w="13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09:15～10:05</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10:08～10:58</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11:00～11:50</w:t>
                  </w:r>
                </w:p>
              </w:tc>
              <w:tc>
                <w:tcPr>
                  <w:tcW w:w="75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3.94</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4.14</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3.28</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0.045 </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0.046 </w:t>
                  </w:r>
                </w:p>
              </w:tc>
              <w:tc>
                <w:tcPr>
                  <w:tcW w:w="85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0.037 </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6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8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98.6%</w:t>
                  </w:r>
                </w:p>
              </w:tc>
              <w:tc>
                <w:tcPr>
                  <w:tcW w:w="15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98.5%</w:t>
                  </w:r>
                </w:p>
              </w:tc>
              <w:tc>
                <w:tcPr>
                  <w:tcW w:w="14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98.7%</w:t>
                  </w:r>
                </w:p>
              </w:tc>
              <w:tc>
                <w:tcPr>
                  <w:tcW w:w="13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280"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426"/>
              <w:gridCol w:w="1236"/>
              <w:gridCol w:w="1071"/>
              <w:gridCol w:w="363"/>
              <w:gridCol w:w="1477"/>
              <w:gridCol w:w="752"/>
              <w:gridCol w:w="682"/>
              <w:gridCol w:w="616"/>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p>
              </w:tc>
              <w:tc>
                <w:tcPr>
                  <w:tcW w:w="6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486"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p>
              </w:tc>
              <w:tc>
                <w:tcPr>
                  <w:tcW w:w="74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3"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206"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3"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2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08:32～08:52</w:t>
                  </w:r>
                </w:p>
              </w:tc>
              <w:tc>
                <w:tcPr>
                  <w:tcW w:w="84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08:54～09:14</w:t>
                  </w:r>
                </w:p>
              </w:tc>
              <w:tc>
                <w:tcPr>
                  <w:tcW w:w="82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09:18～09:38</w:t>
                  </w:r>
                </w:p>
              </w:tc>
              <w:tc>
                <w:tcPr>
                  <w:tcW w:w="71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丙酮废气排气筒进口（DA004）</w:t>
                  </w:r>
                </w:p>
              </w:tc>
              <w:tc>
                <w:tcPr>
                  <w:tcW w:w="9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3206"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丙酮</w:t>
                  </w:r>
                </w:p>
              </w:tc>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8.51</w:t>
                  </w:r>
                </w:p>
              </w:tc>
              <w:tc>
                <w:tcPr>
                  <w:tcW w:w="84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6.96</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8.54</w:t>
                  </w:r>
                </w:p>
              </w:tc>
              <w:tc>
                <w:tcPr>
                  <w:tcW w:w="71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0.066 </w:t>
                  </w:r>
                </w:p>
              </w:tc>
              <w:tc>
                <w:tcPr>
                  <w:tcW w:w="84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0.054 </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0.066 </w:t>
                  </w:r>
                </w:p>
              </w:tc>
              <w:tc>
                <w:tcPr>
                  <w:tcW w:w="71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丙酮废气排气筒出口（DA004））</w:t>
                  </w:r>
                </w:p>
              </w:tc>
              <w:tc>
                <w:tcPr>
                  <w:tcW w:w="9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2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08:39～08:59</w:t>
                  </w:r>
                </w:p>
              </w:tc>
              <w:tc>
                <w:tcPr>
                  <w:tcW w:w="84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09:01～09:21</w:t>
                  </w:r>
                </w:p>
              </w:tc>
              <w:tc>
                <w:tcPr>
                  <w:tcW w:w="82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09:23～09:43</w:t>
                  </w:r>
                </w:p>
              </w:tc>
              <w:tc>
                <w:tcPr>
                  <w:tcW w:w="71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3206"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丙酮</w:t>
                  </w:r>
                </w:p>
              </w:tc>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2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w:t>
                  </w:r>
                </w:p>
              </w:tc>
              <w:tc>
                <w:tcPr>
                  <w:tcW w:w="84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0.17</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0.52</w:t>
                  </w:r>
                </w:p>
              </w:tc>
              <w:tc>
                <w:tcPr>
                  <w:tcW w:w="71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0.000 </w:t>
                  </w:r>
                </w:p>
              </w:tc>
              <w:tc>
                <w:tcPr>
                  <w:tcW w:w="84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0.001 </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0.004 </w:t>
                  </w:r>
                </w:p>
              </w:tc>
              <w:tc>
                <w:tcPr>
                  <w:tcW w:w="71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6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3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99.4%</w:t>
                  </w:r>
                </w:p>
              </w:tc>
              <w:tc>
                <w:tcPr>
                  <w:tcW w:w="14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97.6%</w:t>
                  </w:r>
                </w:p>
              </w:tc>
              <w:tc>
                <w:tcPr>
                  <w:tcW w:w="143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93.9%</w:t>
                  </w:r>
                </w:p>
              </w:tc>
              <w:tc>
                <w:tcPr>
                  <w:tcW w:w="124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159"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pPr>
              <w:rPr>
                <w:rFonts w:hint="default"/>
                <w:lang w:val="en-US" w:eastAsia="zh-CN"/>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26"/>
              <w:gridCol w:w="1365"/>
              <w:gridCol w:w="1060"/>
              <w:gridCol w:w="373"/>
              <w:gridCol w:w="1441"/>
              <w:gridCol w:w="746"/>
              <w:gridCol w:w="685"/>
              <w:gridCol w:w="628"/>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179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p>
              </w:tc>
              <w:tc>
                <w:tcPr>
                  <w:tcW w:w="106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256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2023.08.17</w:t>
                  </w:r>
                </w:p>
              </w:tc>
              <w:tc>
                <w:tcPr>
                  <w:tcW w:w="131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7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1791"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检测项目</w:t>
                  </w:r>
                </w:p>
              </w:tc>
              <w:tc>
                <w:tcPr>
                  <w:tcW w:w="5676"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91"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4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14:02～14:22</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14:25～14:45</w:t>
                  </w:r>
                </w:p>
              </w:tc>
              <w:tc>
                <w:tcPr>
                  <w:tcW w:w="14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14:49～15:09</w:t>
                  </w:r>
                </w:p>
              </w:tc>
              <w:tc>
                <w:tcPr>
                  <w:tcW w:w="137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喷砂废气排气筒进口（DA001）</w:t>
                  </w:r>
                </w:p>
              </w:tc>
              <w:tc>
                <w:tcPr>
                  <w:tcW w:w="179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5982</w:t>
                  </w:r>
                </w:p>
              </w:tc>
              <w:tc>
                <w:tcPr>
                  <w:tcW w:w="144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6072</w:t>
                  </w:r>
                </w:p>
              </w:tc>
              <w:tc>
                <w:tcPr>
                  <w:tcW w:w="143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6325</w:t>
                  </w:r>
                </w:p>
              </w:tc>
              <w:tc>
                <w:tcPr>
                  <w:tcW w:w="137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6126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42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颗粒物</w:t>
                  </w:r>
                </w:p>
              </w:tc>
              <w:tc>
                <w:tcPr>
                  <w:tcW w:w="13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4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28.6</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26.5</w:t>
                  </w:r>
                </w:p>
              </w:tc>
              <w:tc>
                <w:tcPr>
                  <w:tcW w:w="14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27.2</w:t>
                  </w:r>
                </w:p>
              </w:tc>
              <w:tc>
                <w:tcPr>
                  <w:tcW w:w="13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42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p>
              </w:tc>
              <w:tc>
                <w:tcPr>
                  <w:tcW w:w="13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(kg/h)</w:t>
                  </w:r>
                </w:p>
              </w:tc>
              <w:tc>
                <w:tcPr>
                  <w:tcW w:w="14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0.171</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0.161</w:t>
                  </w:r>
                </w:p>
              </w:tc>
              <w:tc>
                <w:tcPr>
                  <w:tcW w:w="14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0.172</w:t>
                  </w:r>
                </w:p>
              </w:tc>
              <w:tc>
                <w:tcPr>
                  <w:tcW w:w="13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 xml:space="preserve">0.168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喷砂废气排气筒出口（DA001）</w:t>
                  </w:r>
                </w:p>
              </w:tc>
              <w:tc>
                <w:tcPr>
                  <w:tcW w:w="179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14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14:03～14:23</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14:26～14:46</w:t>
                  </w:r>
                </w:p>
              </w:tc>
              <w:tc>
                <w:tcPr>
                  <w:tcW w:w="14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14:50～15:10</w:t>
                  </w:r>
                </w:p>
              </w:tc>
              <w:tc>
                <w:tcPr>
                  <w:tcW w:w="137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9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6648</w:t>
                  </w:r>
                </w:p>
              </w:tc>
              <w:tc>
                <w:tcPr>
                  <w:tcW w:w="144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6070</w:t>
                  </w:r>
                </w:p>
              </w:tc>
              <w:tc>
                <w:tcPr>
                  <w:tcW w:w="143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7356</w:t>
                  </w:r>
                </w:p>
              </w:tc>
              <w:tc>
                <w:tcPr>
                  <w:tcW w:w="137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6691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42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颗粒物</w:t>
                  </w:r>
                </w:p>
              </w:tc>
              <w:tc>
                <w:tcPr>
                  <w:tcW w:w="13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1.1</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1.3</w:t>
                  </w:r>
                </w:p>
              </w:tc>
              <w:tc>
                <w:tcPr>
                  <w:tcW w:w="14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1.3</w:t>
                  </w:r>
                </w:p>
              </w:tc>
              <w:tc>
                <w:tcPr>
                  <w:tcW w:w="13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42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p>
              </w:tc>
              <w:tc>
                <w:tcPr>
                  <w:tcW w:w="13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(kg/h)</w:t>
                  </w:r>
                </w:p>
              </w:tc>
              <w:tc>
                <w:tcPr>
                  <w:tcW w:w="143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0.007</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0.008</w:t>
                  </w:r>
                </w:p>
              </w:tc>
              <w:tc>
                <w:tcPr>
                  <w:tcW w:w="14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0.010</w:t>
                  </w:r>
                </w:p>
              </w:tc>
              <w:tc>
                <w:tcPr>
                  <w:tcW w:w="13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79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96.2%</w:t>
                  </w:r>
                </w:p>
              </w:tc>
              <w:tc>
                <w:tcPr>
                  <w:tcW w:w="144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95.1%</w:t>
                  </w:r>
                </w:p>
              </w:tc>
              <w:tc>
                <w:tcPr>
                  <w:tcW w:w="143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95.2%</w:t>
                  </w:r>
                </w:p>
              </w:tc>
              <w:tc>
                <w:tcPr>
                  <w:tcW w:w="137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备注</w:t>
                  </w:r>
                </w:p>
              </w:tc>
              <w:tc>
                <w:tcPr>
                  <w:tcW w:w="7467"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仿宋" w:hAnsi="仿宋" w:eastAsia="仿宋" w:cs="仿宋"/>
                <w:b/>
                <w:bCs/>
                <w:sz w:val="24"/>
                <w:szCs w:val="24"/>
                <w:lang w:val="en-US" w:eastAsia="zh-CN"/>
              </w:rPr>
            </w:pP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26"/>
              <w:gridCol w:w="1246"/>
              <w:gridCol w:w="1092"/>
              <w:gridCol w:w="391"/>
              <w:gridCol w:w="1510"/>
              <w:gridCol w:w="790"/>
              <w:gridCol w:w="699"/>
              <w:gridCol w:w="656"/>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p>
              </w:tc>
              <w:tc>
                <w:tcPr>
                  <w:tcW w:w="6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4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color w:val="auto"/>
                      <w:sz w:val="21"/>
                      <w:szCs w:val="21"/>
                      <w:vertAlign w:val="baseline"/>
                      <w:lang w:val="en-US" w:eastAsia="zh-CN"/>
                    </w:rPr>
                    <w:t>2023.08.16</w:t>
                  </w:r>
                </w:p>
              </w:tc>
              <w:tc>
                <w:tcPr>
                  <w:tcW w:w="77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21"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08:54～09:04</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09:10～09:20</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09:25～09:35</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阳极氧化废气排气筒进口（DA002）</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11085</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12092</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11877</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11685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0.78</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0.70</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0.81</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0.009 </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0.008 </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0.010 </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09:07～09:57</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10:00～10:50</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10:55～11:45</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246</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194</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207</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2.73 </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2.35 </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2.46 </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阳极氧化废气排气筒出口（DA002）</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09:48～09:58</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10:02～10:12</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10:15～10:25</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16935</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15457</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15443</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15945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0.50</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0.55</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0.43</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0.008 </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0.009 </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0.007 </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35.9%</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21.4%</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46.9%</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10:07～10:57</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11:00～11:50</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11:52～12:42</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3.64</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4.14</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4.09</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0.062 </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0.064 </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0.063 </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98.5%</w:t>
                  </w:r>
                </w:p>
              </w:tc>
              <w:tc>
                <w:tcPr>
                  <w:tcW w:w="151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97.9%</w:t>
                  </w:r>
                </w:p>
              </w:tc>
              <w:tc>
                <w:tcPr>
                  <w:tcW w:w="14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98.0%</w:t>
                  </w:r>
                </w:p>
              </w:tc>
              <w:tc>
                <w:tcPr>
                  <w:tcW w:w="130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280"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仿宋" w:hAnsi="仿宋" w:eastAsia="仿宋" w:cs="仿宋"/>
                <w:b/>
                <w:bCs/>
                <w:sz w:val="24"/>
                <w:szCs w:val="24"/>
                <w:lang w:val="en-US" w:eastAsia="zh-CN"/>
              </w:rPr>
            </w:pP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26"/>
              <w:gridCol w:w="1246"/>
              <w:gridCol w:w="1092"/>
              <w:gridCol w:w="391"/>
              <w:gridCol w:w="1510"/>
              <w:gridCol w:w="790"/>
              <w:gridCol w:w="699"/>
              <w:gridCol w:w="656"/>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p>
              </w:tc>
              <w:tc>
                <w:tcPr>
                  <w:tcW w:w="6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4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color w:val="auto"/>
                      <w:sz w:val="21"/>
                      <w:szCs w:val="21"/>
                      <w:vertAlign w:val="baseline"/>
                      <w:lang w:val="en-US" w:eastAsia="zh-CN"/>
                    </w:rPr>
                    <w:t>2023.08.16</w:t>
                  </w:r>
                </w:p>
              </w:tc>
              <w:tc>
                <w:tcPr>
                  <w:tcW w:w="77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21"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10:39～10:49</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10:53～11:03</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11:06～11:16</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阳极氧化废气排气筒进口（DA003）</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11158</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11115</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10865</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11046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0.74</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0.62</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0.69</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0.008 </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0.007 </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0.007 </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10:00～10:50</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10:51～11:41</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11:43～12:33</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267</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248</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221</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2.98</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2.76 </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2.40 </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阳极氧化废气排气筒出口（DA003）</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11:28～11:38</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11:44～11:54</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11:56～12:06</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15217</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15199</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15179</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15198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硫酸雾</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0.41</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0.39</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0.44</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0.006 </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0.006 </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0.007 </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44.6%</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37.1%</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36.2%</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10:08～10:58</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11:00～11:50</w:t>
                  </w:r>
                </w:p>
              </w:tc>
              <w:tc>
                <w:tcPr>
                  <w:tcW w:w="8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11:52～12:42</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4.65</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3.73</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4.42</w:t>
                  </w:r>
                </w:p>
              </w:tc>
              <w:tc>
                <w:tcPr>
                  <w:tcW w:w="74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0.071 </w:t>
                  </w:r>
                </w:p>
              </w:tc>
              <w:tc>
                <w:tcPr>
                  <w:tcW w:w="8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0.057 </w:t>
                  </w:r>
                </w:p>
              </w:tc>
              <w:tc>
                <w:tcPr>
                  <w:tcW w:w="8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0.067 </w:t>
                  </w:r>
                </w:p>
              </w:tc>
              <w:tc>
                <w:tcPr>
                  <w:tcW w:w="7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98.3%</w:t>
                  </w:r>
                </w:p>
              </w:tc>
              <w:tc>
                <w:tcPr>
                  <w:tcW w:w="151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98.5%</w:t>
                  </w:r>
                </w:p>
              </w:tc>
              <w:tc>
                <w:tcPr>
                  <w:tcW w:w="14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98.0%</w:t>
                  </w:r>
                </w:p>
              </w:tc>
              <w:tc>
                <w:tcPr>
                  <w:tcW w:w="130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280"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426"/>
              <w:gridCol w:w="1225"/>
              <w:gridCol w:w="1066"/>
              <w:gridCol w:w="363"/>
              <w:gridCol w:w="1469"/>
              <w:gridCol w:w="759"/>
              <w:gridCol w:w="678"/>
              <w:gridCol w:w="631"/>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4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p>
              </w:tc>
              <w:tc>
                <w:tcPr>
                  <w:tcW w:w="61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48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p>
              </w:tc>
              <w:tc>
                <w:tcPr>
                  <w:tcW w:w="75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4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212"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4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1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08:51～09:11</w:t>
                  </w:r>
                </w:p>
              </w:tc>
              <w:tc>
                <w:tcPr>
                  <w:tcW w:w="8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09:17～09:37</w:t>
                  </w:r>
                </w:p>
              </w:tc>
              <w:tc>
                <w:tcPr>
                  <w:tcW w:w="82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09:40～10:00</w:t>
                  </w:r>
                </w:p>
              </w:tc>
              <w:tc>
                <w:tcPr>
                  <w:tcW w:w="72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丙酮废气排气筒进口（DA004）</w:t>
                  </w:r>
                </w:p>
              </w:tc>
              <w:tc>
                <w:tcPr>
                  <w:tcW w:w="94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3212"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丙酮</w:t>
                  </w:r>
                </w:p>
              </w:tc>
              <w:tc>
                <w:tcPr>
                  <w:tcW w:w="7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1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6.82</w:t>
                  </w:r>
                </w:p>
              </w:tc>
              <w:tc>
                <w:tcPr>
                  <w:tcW w:w="84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6.72</w:t>
                  </w:r>
                </w:p>
              </w:tc>
              <w:tc>
                <w:tcPr>
                  <w:tcW w:w="8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5.50</w:t>
                  </w:r>
                </w:p>
              </w:tc>
              <w:tc>
                <w:tcPr>
                  <w:tcW w:w="7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1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0.047 </w:t>
                  </w:r>
                </w:p>
              </w:tc>
              <w:tc>
                <w:tcPr>
                  <w:tcW w:w="84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0.047 </w:t>
                  </w:r>
                </w:p>
              </w:tc>
              <w:tc>
                <w:tcPr>
                  <w:tcW w:w="8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0.038 </w:t>
                  </w:r>
                </w:p>
              </w:tc>
              <w:tc>
                <w:tcPr>
                  <w:tcW w:w="7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丙酮废气排气筒出口（DA004））</w:t>
                  </w:r>
                </w:p>
              </w:tc>
              <w:tc>
                <w:tcPr>
                  <w:tcW w:w="94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1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08:47～09:07</w:t>
                  </w:r>
                </w:p>
              </w:tc>
              <w:tc>
                <w:tcPr>
                  <w:tcW w:w="8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09:10～09:30</w:t>
                  </w:r>
                </w:p>
              </w:tc>
              <w:tc>
                <w:tcPr>
                  <w:tcW w:w="82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09:31～09:51</w:t>
                  </w:r>
                </w:p>
              </w:tc>
              <w:tc>
                <w:tcPr>
                  <w:tcW w:w="72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4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3212"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丙酮</w:t>
                  </w:r>
                </w:p>
              </w:tc>
              <w:tc>
                <w:tcPr>
                  <w:tcW w:w="7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1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0.15</w:t>
                  </w:r>
                </w:p>
              </w:tc>
              <w:tc>
                <w:tcPr>
                  <w:tcW w:w="84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8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19"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c>
                <w:tcPr>
                  <w:tcW w:w="84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3.48×10</w:t>
                  </w:r>
                  <w:r>
                    <w:rPr>
                      <w:rFonts w:hint="default" w:ascii="Times New Roman" w:hAnsi="Times New Roman" w:eastAsia="宋体" w:cs="Times New Roman"/>
                      <w:b w:val="0"/>
                      <w:bCs w:val="0"/>
                      <w:sz w:val="21"/>
                      <w:szCs w:val="21"/>
                      <w:vertAlign w:val="superscript"/>
                      <w:lang w:val="en-US" w:eastAsia="zh-CN"/>
                    </w:rPr>
                    <w:t>-5</w:t>
                  </w:r>
                </w:p>
              </w:tc>
              <w:tc>
                <w:tcPr>
                  <w:tcW w:w="8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3.48×10</w:t>
                  </w:r>
                  <w:r>
                    <w:rPr>
                      <w:rFonts w:hint="default" w:ascii="Times New Roman" w:hAnsi="Times New Roman" w:eastAsia="宋体" w:cs="Times New Roman"/>
                      <w:b w:val="0"/>
                      <w:bCs w:val="0"/>
                      <w:sz w:val="21"/>
                      <w:szCs w:val="21"/>
                      <w:vertAlign w:val="superscript"/>
                      <w:lang w:val="en-US" w:eastAsia="zh-CN"/>
                    </w:rPr>
                    <w:t>-5</w:t>
                  </w:r>
                </w:p>
              </w:tc>
              <w:tc>
                <w:tcPr>
                  <w:tcW w:w="7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3.71×10</w:t>
                  </w:r>
                  <w:r>
                    <w:rPr>
                      <w:rFonts w:hint="default" w:ascii="Times New Roman" w:hAnsi="Times New Roman" w:eastAsia="宋体" w:cs="Times New Roman"/>
                      <w:b w:val="0"/>
                      <w:bCs w:val="0"/>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51"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处理效率</w:t>
                  </w:r>
                </w:p>
              </w:tc>
              <w:tc>
                <w:tcPr>
                  <w:tcW w:w="142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b w:val="0"/>
                      <w:bCs w:val="0"/>
                      <w:sz w:val="21"/>
                      <w:szCs w:val="21"/>
                      <w:vertAlign w:val="baseline"/>
                      <w:lang w:val="en-US" w:eastAsia="zh-CN"/>
                    </w:rPr>
                    <w:t>97.8%</w:t>
                  </w:r>
                </w:p>
              </w:tc>
              <w:tc>
                <w:tcPr>
                  <w:tcW w:w="146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6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159"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本项目无组织废气颗粒物</w:t>
            </w:r>
            <w:r>
              <w:rPr>
                <w:rFonts w:hint="eastAsia" w:ascii="Times New Roman" w:hAnsi="Times New Roman" w:cs="Times New Roman"/>
                <w:sz w:val="24"/>
                <w:szCs w:val="24"/>
                <w:lang w:val="en-US" w:eastAsia="zh-CN"/>
              </w:rPr>
              <w:t>及丙酮</w:t>
            </w:r>
            <w:r>
              <w:rPr>
                <w:rFonts w:hint="default" w:ascii="Times New Roman" w:hAnsi="Times New Roman" w:cs="Times New Roman"/>
                <w:sz w:val="24"/>
                <w:szCs w:val="24"/>
                <w:lang w:val="en-US" w:eastAsia="zh-CN"/>
              </w:rPr>
              <w:t>满足</w:t>
            </w:r>
            <w:r>
              <w:rPr>
                <w:rFonts w:hint="default" w:ascii="Times New Roman" w:hAnsi="Times New Roman" w:cs="Times New Roman" w:eastAsiaTheme="minorEastAsia"/>
                <w:sz w:val="24"/>
                <w:szCs w:val="24"/>
              </w:rPr>
              <w:t>上海市《大气污染物综合排放标准》（DB31/933-2015）</w:t>
            </w:r>
            <w:r>
              <w:rPr>
                <w:rFonts w:hint="default" w:ascii="Times New Roman" w:hAnsi="Times New Roman" w:cs="Times New Roman"/>
                <w:color w:val="auto"/>
                <w:sz w:val="24"/>
              </w:rPr>
              <w:t>无组织排放监控浓度限值浓度</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无组织废气检测结果</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676"/>
              <w:gridCol w:w="1772"/>
              <w:gridCol w:w="825"/>
              <w:gridCol w:w="61"/>
              <w:gridCol w:w="886"/>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2023.08.14</w:t>
                  </w:r>
                </w:p>
              </w:tc>
              <w:tc>
                <w:tcPr>
                  <w:tcW w:w="148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2023.08.14～2023.08.16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524" w:type="pct"/>
                  <w:gridSpan w:val="3"/>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总悬浮颗粒物</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i w:val="0"/>
                      <w:caps w:val="0"/>
                      <w:color w:val="333333"/>
                      <w:spacing w:val="0"/>
                      <w:sz w:val="21"/>
                      <w:szCs w:val="21"/>
                      <w:shd w:val="clear" w:fill="FFFFFF"/>
                    </w:rPr>
                    <w:t>μg</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c>
                <w:tcPr>
                  <w:tcW w:w="1524" w:type="pct"/>
                  <w:gridSpan w:val="2"/>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丙酮</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14:27～15:27</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15:30～16:30</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16:32～17:32</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14:00～15:00</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68</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15:02～16:02</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73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16:07～17:07</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74</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14:11～15:11</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15:14～16:14</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16:17～17:17</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73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99.8</w:t>
                  </w:r>
                </w:p>
              </w:tc>
              <w:tc>
                <w:tcPr>
                  <w:tcW w:w="1016"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27.3～30.7</w:t>
                  </w:r>
                </w:p>
              </w:tc>
            </w:tr>
          </w:tbl>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676"/>
              <w:gridCol w:w="1772"/>
              <w:gridCol w:w="825"/>
              <w:gridCol w:w="61"/>
              <w:gridCol w:w="886"/>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2023.08.15</w:t>
                  </w:r>
                </w:p>
              </w:tc>
              <w:tc>
                <w:tcPr>
                  <w:tcW w:w="148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2023.08.15～2023.08.17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524" w:type="pct"/>
                  <w:gridSpan w:val="3"/>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总悬浮颗粒物</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i w:val="0"/>
                      <w:caps w:val="0"/>
                      <w:color w:val="333333"/>
                      <w:spacing w:val="0"/>
                      <w:sz w:val="21"/>
                      <w:szCs w:val="21"/>
                      <w:shd w:val="clear" w:fill="FFFFFF"/>
                    </w:rPr>
                    <w:t>μg</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c>
                <w:tcPr>
                  <w:tcW w:w="1524" w:type="pct"/>
                  <w:gridSpan w:val="2"/>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丙酮</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13:11～14:11</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14:15～15:15</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88</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15:19～16:19</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72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13:02～14:02</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67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14:07～15:07</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63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15:11～16:11</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73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68</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13:17～14:17</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14:21～15:21</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98</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15:23～16:23</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91</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99.8</w:t>
                  </w:r>
                </w:p>
              </w:tc>
              <w:tc>
                <w:tcPr>
                  <w:tcW w:w="1016"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31.7～33.5</w:t>
                  </w: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本项目废水排放满足</w:t>
            </w:r>
            <w:r>
              <w:rPr>
                <w:rFonts w:hint="default" w:ascii="Times New Roman" w:hAnsi="Times New Roman" w:eastAsia="宋体" w:cs="Times New Roman"/>
                <w:bCs/>
                <w:color w:val="auto"/>
                <w:sz w:val="24"/>
                <w:szCs w:val="24"/>
                <w:lang w:eastAsia="zh-CN"/>
              </w:rPr>
              <w:t>《污水综合排放标准》（</w:t>
            </w:r>
            <w:r>
              <w:rPr>
                <w:rFonts w:hint="default" w:ascii="Times New Roman" w:hAnsi="Times New Roman" w:eastAsia="宋体" w:cs="Times New Roman"/>
                <w:bCs/>
                <w:color w:val="auto"/>
                <w:sz w:val="24"/>
                <w:szCs w:val="24"/>
                <w:lang w:val="en-US" w:eastAsia="zh-CN"/>
              </w:rPr>
              <w:t>GB8978-1996</w:t>
            </w:r>
            <w:r>
              <w:rPr>
                <w:rFonts w:hint="default" w:ascii="Times New Roman" w:hAnsi="Times New Roman" w:eastAsia="宋体" w:cs="Times New Roman"/>
                <w:bCs/>
                <w:color w:val="auto"/>
                <w:sz w:val="24"/>
                <w:szCs w:val="24"/>
                <w:lang w:eastAsia="zh-CN"/>
              </w:rPr>
              <w:t>）表</w:t>
            </w:r>
            <w:r>
              <w:rPr>
                <w:rFonts w:hint="default" w:ascii="Times New Roman" w:hAnsi="Times New Roman" w:eastAsia="宋体" w:cs="Times New Roman"/>
                <w:bCs/>
                <w:color w:val="auto"/>
                <w:sz w:val="24"/>
                <w:szCs w:val="24"/>
                <w:lang w:val="en-US" w:eastAsia="zh-CN"/>
              </w:rPr>
              <w:t>4中三级标准及</w:t>
            </w:r>
            <w:r>
              <w:rPr>
                <w:rFonts w:hint="eastAsia" w:ascii="Times New Roman" w:hAnsi="Times New Roman" w:eastAsia="宋体" w:cs="Times New Roman"/>
                <w:spacing w:val="-9"/>
                <w:sz w:val="24"/>
                <w:szCs w:val="24"/>
                <w:lang w:eastAsia="zh-CN"/>
              </w:rPr>
              <w:t>港口</w:t>
            </w:r>
            <w:r>
              <w:rPr>
                <w:rFonts w:hint="default" w:ascii="Times New Roman" w:hAnsi="Times New Roman" w:eastAsia="宋体" w:cs="Times New Roman"/>
                <w:spacing w:val="-9"/>
                <w:sz w:val="24"/>
                <w:szCs w:val="24"/>
              </w:rPr>
              <w:t>污水处理厂</w:t>
            </w:r>
            <w:r>
              <w:rPr>
                <w:rFonts w:hint="default"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1-3 </w:t>
            </w:r>
            <w:r>
              <w:rPr>
                <w:rFonts w:hint="default" w:ascii="Times New Roman" w:hAnsi="Times New Roman" w:eastAsia="宋体" w:cs="Times New Roman"/>
                <w:b/>
                <w:bCs/>
                <w:color w:val="000000"/>
                <w:sz w:val="21"/>
                <w:szCs w:val="21"/>
                <w:lang w:val="en-US" w:eastAsia="zh-CN"/>
              </w:rPr>
              <w:t>废水检测结果</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76"/>
              <w:gridCol w:w="1208"/>
              <w:gridCol w:w="1172"/>
              <w:gridCol w:w="37"/>
              <w:gridCol w:w="1208"/>
              <w:gridCol w:w="1215"/>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仿宋" w:hAnsi="仿宋" w:eastAsia="仿宋" w:cs="仿宋"/>
                      <w:b/>
                      <w:bCs/>
                      <w:sz w:val="24"/>
                      <w:szCs w:val="24"/>
                      <w:lang w:val="en-US" w:eastAsia="zh-CN"/>
                    </w:rPr>
                    <w:t xml:space="preserve">                                         </w:t>
                  </w:r>
                  <w:r>
                    <w:rPr>
                      <w:rFonts w:hint="default" w:ascii="Times New Roman" w:hAnsi="Times New Roman" w:eastAsia="宋体" w:cs="Times New Roman"/>
                      <w:sz w:val="21"/>
                      <w:szCs w:val="21"/>
                      <w:lang w:val="en-US" w:eastAsia="zh-CN"/>
                    </w:rPr>
                    <w:t>采样时间</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p>
              </w:tc>
              <w:tc>
                <w:tcPr>
                  <w:tcW w:w="13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1872"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2023.08.14</w:t>
                  </w:r>
                  <w:r>
                    <w:rPr>
                      <w:rFonts w:hint="default"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rPr>
                    <w:t>2023.08.20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07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77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4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07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4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污水处理</w:t>
                  </w:r>
                  <w:r>
                    <w:rPr>
                      <w:rFonts w:hint="eastAsia" w:ascii="Times New Roman" w:hAnsi="Times New Roman" w:eastAsia="宋体" w:cs="Times New Roman"/>
                      <w:b w:val="0"/>
                      <w:bCs w:val="0"/>
                      <w:sz w:val="21"/>
                      <w:szCs w:val="21"/>
                      <w:vertAlign w:val="baseline"/>
                      <w:lang w:val="en-US" w:eastAsia="zh-CN"/>
                    </w:rPr>
                    <w:t>站</w:t>
                  </w:r>
                  <w:r>
                    <w:rPr>
                      <w:rFonts w:hint="default" w:ascii="Times New Roman" w:hAnsi="Times New Roman" w:eastAsia="宋体" w:cs="Times New Roman"/>
                      <w:b w:val="0"/>
                      <w:bCs w:val="0"/>
                      <w:sz w:val="21"/>
                      <w:szCs w:val="21"/>
                      <w:vertAlign w:val="baseline"/>
                      <w:lang w:val="en-US" w:eastAsia="zh-CN"/>
                    </w:rPr>
                    <w:t>进口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49</w:t>
                  </w:r>
                </w:p>
              </w:tc>
              <w:tc>
                <w:tcPr>
                  <w:tcW w:w="6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17.0</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34</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32</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11.9</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12.1</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0.269</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0.268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0.254</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0.264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41.9</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38.7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铝</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锌</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无色、浑浊、有异味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污水处理</w:t>
                  </w:r>
                  <w:r>
                    <w:rPr>
                      <w:rFonts w:hint="eastAsia" w:ascii="Times New Roman" w:hAnsi="Times New Roman" w:eastAsia="宋体" w:cs="Times New Roman"/>
                      <w:b w:val="0"/>
                      <w:bCs w:val="0"/>
                      <w:sz w:val="21"/>
                      <w:szCs w:val="21"/>
                      <w:vertAlign w:val="baseline"/>
                      <w:lang w:val="en-US" w:eastAsia="zh-CN"/>
                    </w:rPr>
                    <w:t>站</w:t>
                  </w:r>
                  <w:r>
                    <w:rPr>
                      <w:rFonts w:hint="default" w:ascii="Times New Roman" w:hAnsi="Times New Roman" w:eastAsia="宋体" w:cs="Times New Roman"/>
                      <w:b w:val="0"/>
                      <w:bCs w:val="0"/>
                      <w:sz w:val="21"/>
                      <w:szCs w:val="21"/>
                      <w:vertAlign w:val="baseline"/>
                      <w:lang w:val="en-US" w:eastAsia="zh-CN"/>
                    </w:rPr>
                    <w:t>出口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7.1</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7.1</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0.038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0.043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0.040</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0.040</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20.4</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23.0</w:t>
                  </w:r>
                </w:p>
              </w:tc>
              <w:tc>
                <w:tcPr>
                  <w:tcW w:w="6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铝</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锌</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备注</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“L”表示检测结果低于方法检出限。</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 xml:space="preserve">                                       </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76"/>
              <w:gridCol w:w="1208"/>
              <w:gridCol w:w="1172"/>
              <w:gridCol w:w="37"/>
              <w:gridCol w:w="1208"/>
              <w:gridCol w:w="1215"/>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采样时间</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p>
              </w:tc>
              <w:tc>
                <w:tcPr>
                  <w:tcW w:w="13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1872"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2023.08.15</w:t>
                  </w:r>
                  <w:r>
                    <w:rPr>
                      <w:rFonts w:hint="default"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rPr>
                    <w:t>2023.08.20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07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77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4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07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4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污水处理</w:t>
                  </w:r>
                  <w:r>
                    <w:rPr>
                      <w:rFonts w:hint="eastAsia" w:ascii="Times New Roman" w:hAnsi="Times New Roman" w:eastAsia="宋体" w:cs="Times New Roman"/>
                      <w:b w:val="0"/>
                      <w:bCs w:val="0"/>
                      <w:sz w:val="21"/>
                      <w:szCs w:val="21"/>
                      <w:vertAlign w:val="baseline"/>
                      <w:lang w:val="en-US" w:eastAsia="zh-CN"/>
                    </w:rPr>
                    <w:t>站</w:t>
                  </w:r>
                  <w:r>
                    <w:rPr>
                      <w:rFonts w:hint="default" w:ascii="Times New Roman" w:hAnsi="Times New Roman" w:eastAsia="宋体" w:cs="Times New Roman"/>
                      <w:b w:val="0"/>
                      <w:bCs w:val="0"/>
                      <w:sz w:val="21"/>
                      <w:szCs w:val="21"/>
                      <w:vertAlign w:val="baseline"/>
                      <w:lang w:val="en-US" w:eastAsia="zh-CN"/>
                    </w:rPr>
                    <w:t>进口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33</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32</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11.3</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0.308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0.334</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0.316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0.319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42.8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43.5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40.2</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42.2</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铝</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锌</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淡黄、浑浊、有异味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污水处理</w:t>
                  </w:r>
                  <w:r>
                    <w:rPr>
                      <w:rFonts w:hint="eastAsia" w:ascii="Times New Roman" w:hAnsi="Times New Roman" w:eastAsia="宋体" w:cs="Times New Roman"/>
                      <w:b w:val="0"/>
                      <w:bCs w:val="0"/>
                      <w:sz w:val="21"/>
                      <w:szCs w:val="21"/>
                      <w:vertAlign w:val="baseline"/>
                      <w:lang w:val="en-US" w:eastAsia="zh-CN"/>
                    </w:rPr>
                    <w:t>站</w:t>
                  </w:r>
                  <w:r>
                    <w:rPr>
                      <w:rFonts w:hint="default" w:ascii="Times New Roman" w:hAnsi="Times New Roman" w:eastAsia="宋体" w:cs="Times New Roman"/>
                      <w:b w:val="0"/>
                      <w:bCs w:val="0"/>
                      <w:sz w:val="21"/>
                      <w:szCs w:val="21"/>
                      <w:vertAlign w:val="baseline"/>
                      <w:lang w:val="en-US" w:eastAsia="zh-CN"/>
                    </w:rPr>
                    <w:t>出口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7.3</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0.046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0.040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0.047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20.4</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铝</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锌</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备注</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“L”表示检测结果低于方法检出限。</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eastAsia" w:ascii="仿宋" w:hAnsi="仿宋" w:eastAsia="仿宋" w:cs="仿宋"/>
                <w:b/>
                <w:bCs/>
                <w:sz w:val="24"/>
                <w:szCs w:val="24"/>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噪声检测结果</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149"/>
              <w:gridCol w:w="1575"/>
              <w:gridCol w:w="1624"/>
              <w:gridCol w:w="159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42" w:type="pct"/>
                  <w:vMerge w:val="restar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dB（A）</w:t>
                  </w:r>
                </w:p>
              </w:tc>
              <w:tc>
                <w:tcPr>
                  <w:tcW w:w="659" w:type="pct"/>
                  <w:vMerge w:val="restar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检测点位</w:t>
                  </w:r>
                </w:p>
              </w:tc>
              <w:tc>
                <w:tcPr>
                  <w:tcW w:w="3698" w:type="pct"/>
                  <w:gridSpan w:val="4"/>
                  <w:tcBorders>
                    <w:top w:val="single" w:color="auto" w:sz="12" w:space="0"/>
                    <w:right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65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p>
              </w:tc>
              <w:tc>
                <w:tcPr>
                  <w:tcW w:w="1834"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2023.08.14</w:t>
                  </w:r>
                </w:p>
              </w:tc>
              <w:tc>
                <w:tcPr>
                  <w:tcW w:w="1863" w:type="pct"/>
                  <w:gridSpan w:val="2"/>
                  <w:tcBorders>
                    <w:right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946"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1#东</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61.3</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52.3</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61.8</w:t>
                  </w:r>
                </w:p>
              </w:tc>
              <w:tc>
                <w:tcPr>
                  <w:tcW w:w="946"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2#南</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58.1</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48.9</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58.9</w:t>
                  </w:r>
                </w:p>
              </w:tc>
              <w:tc>
                <w:tcPr>
                  <w:tcW w:w="946"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54.8</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46.8</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56.5</w:t>
                  </w:r>
                </w:p>
              </w:tc>
              <w:tc>
                <w:tcPr>
                  <w:tcW w:w="946"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55.3</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47.2</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55.9</w:t>
                  </w:r>
                </w:p>
              </w:tc>
              <w:tc>
                <w:tcPr>
                  <w:tcW w:w="946"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01" w:type="pct"/>
                  <w:gridSpan w:val="2"/>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气相条件</w:t>
                  </w:r>
                </w:p>
              </w:tc>
              <w:tc>
                <w:tcPr>
                  <w:tcW w:w="183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昼：晴  夜：晴  风速：0.4 m/s</w:t>
                  </w:r>
                </w:p>
              </w:tc>
              <w:tc>
                <w:tcPr>
                  <w:tcW w:w="186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昼：晴  夜：晴  风速：0.5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42" w:type="pct"/>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7" w:type="pct"/>
                  <w:gridSpan w:val="5"/>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p>
              </w:tc>
            </w:tr>
          </w:tbl>
          <w:p>
            <w:pPr>
              <w:pStyle w:val="2"/>
              <w:spacing w:line="360" w:lineRule="auto"/>
              <w:ind w:firstLine="420" w:firstLineChars="200"/>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总量核算表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49"/>
              <w:gridCol w:w="1449"/>
              <w:gridCol w:w="1450"/>
              <w:gridCol w:w="1450"/>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6"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r>
                    <w:rPr>
                      <w:rFonts w:hint="default" w:ascii="Times New Roman" w:hAnsi="Times New Roman" w:cs="Times New Roman"/>
                      <w:sz w:val="21"/>
                      <w:szCs w:val="21"/>
                      <w:lang w:val="en-US" w:eastAsia="zh-CN"/>
                    </w:rPr>
                    <w:t>mg/L</w:t>
                  </w:r>
                </w:p>
              </w:tc>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8640</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0.225</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color w:val="auto"/>
                      <w:sz w:val="21"/>
                      <w:szCs w:val="21"/>
                      <w:lang w:val="en-US" w:eastAsia="zh-CN"/>
                    </w:rPr>
                    <w:t>8.127</w:t>
                  </w:r>
                  <w:r>
                    <w:rPr>
                      <w:rFonts w:hint="default" w:ascii="Times New Roman" w:hAnsi="Times New Roman" w:eastAsia="宋体" w:cs="Times New Roman"/>
                      <w:color w:val="auto"/>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0.044</w:t>
                  </w:r>
                  <w:r>
                    <w:rPr>
                      <w:rFonts w:hint="default" w:ascii="Times New Roman" w:hAnsi="Times New Roman" w:cs="Times New Roman"/>
                      <w:sz w:val="21"/>
                      <w:szCs w:val="21"/>
                      <w:lang w:val="en-US" w:eastAsia="zh-CN"/>
                    </w:rPr>
                    <w:t>mg/L</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0.0004</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color w:val="auto"/>
                      <w:sz w:val="21"/>
                      <w:szCs w:val="21"/>
                      <w:lang w:val="en-US" w:eastAsia="zh-CN"/>
                    </w:rPr>
                    <w:t>0.38</w:t>
                  </w:r>
                  <w:r>
                    <w:rPr>
                      <w:rFonts w:hint="default" w:ascii="Times New Roman" w:hAnsi="Times New Roman" w:eastAsia="宋体" w:cs="Times New Roman"/>
                      <w:color w:val="auto"/>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0.009</w:t>
                  </w:r>
                  <w:r>
                    <w:rPr>
                      <w:rFonts w:hint="default" w:ascii="Times New Roman" w:hAnsi="Times New Roman" w:cs="Times New Roman"/>
                      <w:sz w:val="21"/>
                      <w:szCs w:val="21"/>
                      <w:lang w:val="en-US" w:eastAsia="zh-CN"/>
                    </w:rPr>
                    <w:t>kg/h</w:t>
                  </w:r>
                </w:p>
              </w:tc>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r>
                    <w:rPr>
                      <w:rFonts w:hint="default" w:ascii="Times New Roman" w:hAnsi="Times New Roman" w:cs="Times New Roman"/>
                      <w:sz w:val="21"/>
                      <w:szCs w:val="21"/>
                      <w:lang w:val="en-US" w:eastAsia="zh-CN"/>
                    </w:rPr>
                    <w:t>00h/a</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0.022</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1.376</w:t>
                  </w:r>
                  <w:r>
                    <w:rPr>
                      <w:rFonts w:hint="default" w:ascii="Times New Roman" w:hAnsi="Times New Roman" w:eastAsia="宋体" w:cs="Times New Roman"/>
                      <w:color w:val="auto"/>
                      <w:sz w:val="21"/>
                      <w:szCs w:val="21"/>
                      <w:lang w:val="en-US" w:eastAsia="zh-CN"/>
                    </w:rPr>
                    <w:t>t/a</w:t>
                  </w:r>
                </w:p>
              </w:tc>
              <w:tc>
                <w:tcPr>
                  <w:tcW w:w="836"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0.056</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0.134</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5.201</w:t>
                  </w:r>
                  <w:r>
                    <w:rPr>
                      <w:rFonts w:hint="default" w:ascii="Times New Roman" w:hAnsi="Times New Roman" w:eastAsia="宋体" w:cs="Times New Roman"/>
                      <w:color w:val="auto"/>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0.002</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0.0048</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1.038</w:t>
                  </w:r>
                  <w:r>
                    <w:rPr>
                      <w:rFonts w:hint="default" w:ascii="Times New Roman" w:hAnsi="Times New Roman" w:eastAsia="宋体" w:cs="Times New Roman"/>
                      <w:color w:val="auto"/>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219450" cy="2414905"/>
                  <wp:effectExtent l="0" t="0" r="0" b="4445"/>
                  <wp:docPr id="43" name="图片 43" descr="f1f74c6ed5182b030c2a474235e6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1f74c6ed5182b030c2a474235e6e6d"/>
                          <pic:cNvPicPr>
                            <a:picLocks noChangeAspect="1"/>
                          </pic:cNvPicPr>
                        </pic:nvPicPr>
                        <pic:blipFill>
                          <a:blip r:embed="rId22"/>
                          <a:stretch>
                            <a:fillRect/>
                          </a:stretch>
                        </pic:blipFill>
                        <pic:spPr>
                          <a:xfrm>
                            <a:off x="0" y="0"/>
                            <a:ext cx="3219450" cy="24149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809115" cy="2413635"/>
                  <wp:effectExtent l="0" t="0" r="635" b="5715"/>
                  <wp:docPr id="12" name="图片 12" descr="19bc0ba72cede0695cccd0e424b8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bc0ba72cede0695cccd0e424b80cd"/>
                          <pic:cNvPicPr>
                            <a:picLocks noChangeAspect="1"/>
                          </pic:cNvPicPr>
                        </pic:nvPicPr>
                        <pic:blipFill>
                          <a:blip r:embed="rId23"/>
                          <a:stretch>
                            <a:fillRect/>
                          </a:stretch>
                        </pic:blipFill>
                        <pic:spPr>
                          <a:xfrm>
                            <a:off x="0" y="0"/>
                            <a:ext cx="1809115" cy="241363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p>
            <w:pPr>
              <w:jc w:val="center"/>
              <w:rPr>
                <w:rFonts w:hint="eastAsia" w:ascii="Times New Roman" w:hAnsi="Times New Roman" w:cs="Times New Roman" w:eastAsiaTheme="minorEastAsia"/>
                <w:b/>
                <w:bCs/>
                <w:sz w:val="21"/>
                <w:szCs w:val="21"/>
                <w:lang w:val="en-US" w:eastAsia="zh-CN"/>
              </w:rPr>
            </w:pPr>
            <w:r>
              <w:drawing>
                <wp:inline distT="0" distB="0" distL="114300" distR="114300">
                  <wp:extent cx="1934210" cy="2579370"/>
                  <wp:effectExtent l="0" t="0" r="8890" b="11430"/>
                  <wp:docPr id="13" name="图片 13" descr="d76f9cac0088c8fe69bd8093049e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76f9cac0088c8fe69bd8093049ed83"/>
                          <pic:cNvPicPr>
                            <a:picLocks noChangeAspect="1"/>
                          </pic:cNvPicPr>
                        </pic:nvPicPr>
                        <pic:blipFill>
                          <a:blip r:embed="rId24"/>
                          <a:stretch>
                            <a:fillRect/>
                          </a:stretch>
                        </pic:blipFill>
                        <pic:spPr>
                          <a:xfrm>
                            <a:off x="0" y="0"/>
                            <a:ext cx="1934210" cy="2579370"/>
                          </a:xfrm>
                          <a:prstGeom prst="rect">
                            <a:avLst/>
                          </a:prstGeom>
                        </pic:spPr>
                      </pic:pic>
                    </a:graphicData>
                  </a:graphic>
                </wp:inline>
              </w:drawing>
            </w:r>
            <w:r>
              <w:rPr>
                <w:rFonts w:hint="eastAsia" w:ascii="Times New Roman" w:hAnsi="Times New Roman" w:cs="Times New Roman" w:eastAsiaTheme="minorEastAsia"/>
                <w:b/>
                <w:bCs/>
                <w:sz w:val="21"/>
                <w:szCs w:val="21"/>
                <w:lang w:val="en-US" w:eastAsia="zh-CN"/>
              </w:rPr>
              <w:drawing>
                <wp:inline distT="0" distB="0" distL="114300" distR="114300">
                  <wp:extent cx="3453765" cy="2590800"/>
                  <wp:effectExtent l="0" t="0" r="13335" b="0"/>
                  <wp:docPr id="16" name="图片 16" descr="13563d2fe117d53bb08a9809c988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563d2fe117d53bb08a9809c988e86"/>
                          <pic:cNvPicPr>
                            <a:picLocks noChangeAspect="1"/>
                          </pic:cNvPicPr>
                        </pic:nvPicPr>
                        <pic:blipFill>
                          <a:blip r:embed="rId25"/>
                          <a:stretch>
                            <a:fillRect/>
                          </a:stretch>
                        </pic:blipFill>
                        <pic:spPr>
                          <a:xfrm>
                            <a:off x="0" y="0"/>
                            <a:ext cx="3453765" cy="259080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620645" cy="1965960"/>
                  <wp:effectExtent l="0" t="0" r="8255" b="15240"/>
                  <wp:docPr id="17" name="图片 17" descr="31e0d1747fbb7d71316e99d33c0c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1e0d1747fbb7d71316e99d33c0ccb3"/>
                          <pic:cNvPicPr>
                            <a:picLocks noChangeAspect="1"/>
                          </pic:cNvPicPr>
                        </pic:nvPicPr>
                        <pic:blipFill>
                          <a:blip r:embed="rId26"/>
                          <a:stretch>
                            <a:fillRect/>
                          </a:stretch>
                        </pic:blipFill>
                        <pic:spPr>
                          <a:xfrm>
                            <a:off x="0" y="0"/>
                            <a:ext cx="2620645" cy="196596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626360" cy="1969770"/>
                  <wp:effectExtent l="0" t="0" r="2540" b="11430"/>
                  <wp:docPr id="20" name="图片 20" descr="2eb96cde3a406343e1f20b57e0ce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eb96cde3a406343e1f20b57e0ceaf3"/>
                          <pic:cNvPicPr>
                            <a:picLocks noChangeAspect="1"/>
                          </pic:cNvPicPr>
                        </pic:nvPicPr>
                        <pic:blipFill>
                          <a:blip r:embed="rId27"/>
                          <a:stretch>
                            <a:fillRect/>
                          </a:stretch>
                        </pic:blipFill>
                        <pic:spPr>
                          <a:xfrm>
                            <a:off x="0" y="0"/>
                            <a:ext cx="2626360" cy="196977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-3 现场采样图</w:t>
            </w:r>
          </w:p>
          <w:p>
            <w:pPr>
              <w:jc w:val="center"/>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Cs/>
                <w:color w:val="auto"/>
                <w:sz w:val="24"/>
                <w:szCs w:val="24"/>
                <w:lang w:eastAsia="zh-CN"/>
              </w:rPr>
            </w:pPr>
            <w:r>
              <w:rPr>
                <w:rFonts w:hint="default" w:ascii="Times New Roman" w:hAnsi="Times New Roman" w:eastAsia="宋体" w:cs="Times New Roman"/>
                <w:color w:val="000000"/>
                <w:sz w:val="24"/>
                <w:szCs w:val="24"/>
                <w:lang w:val="en-US" w:eastAsia="zh-CN"/>
              </w:rPr>
              <w:t>1、废水：</w:t>
            </w:r>
            <w:r>
              <w:rPr>
                <w:rFonts w:hint="eastAsia" w:ascii="Times New Roman" w:hAnsi="Times New Roman" w:cs="Times New Roman"/>
                <w:bCs/>
                <w:color w:val="auto"/>
                <w:sz w:val="24"/>
                <w:szCs w:val="24"/>
                <w:lang w:eastAsia="zh-CN"/>
              </w:rPr>
              <w:t>项目</w:t>
            </w:r>
            <w:r>
              <w:rPr>
                <w:rFonts w:hint="default" w:ascii="Times New Roman" w:hAnsi="Times New Roman" w:cs="Times New Roman"/>
                <w:bCs/>
                <w:color w:val="auto"/>
                <w:sz w:val="24"/>
                <w:szCs w:val="24"/>
                <w:lang w:eastAsia="zh-CN"/>
              </w:rPr>
              <w:t>污水处理站出口的废水中pH范围是7.</w:t>
            </w:r>
            <w:r>
              <w:rPr>
                <w:rFonts w:hint="eastAsia"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lang w:eastAsia="zh-CN"/>
              </w:rPr>
              <w:t>-7.</w:t>
            </w:r>
            <w:r>
              <w:rPr>
                <w:rFonts w:hint="eastAsia" w:ascii="Times New Roman" w:hAnsi="Times New Roman" w:cs="Times New Roman"/>
                <w:bCs/>
                <w:color w:val="auto"/>
                <w:sz w:val="24"/>
                <w:szCs w:val="24"/>
                <w:lang w:val="en-US" w:eastAsia="zh-CN"/>
              </w:rPr>
              <w:t>3</w:t>
            </w:r>
            <w:r>
              <w:rPr>
                <w:rFonts w:hint="default" w:ascii="Times New Roman" w:hAnsi="Times New Roman" w:cs="Times New Roman"/>
                <w:bCs/>
                <w:color w:val="auto"/>
                <w:sz w:val="24"/>
                <w:szCs w:val="24"/>
                <w:lang w:eastAsia="zh-CN"/>
              </w:rPr>
              <w:t>、COD最大日均排放浓度为</w:t>
            </w:r>
            <w:r>
              <w:rPr>
                <w:rFonts w:hint="eastAsia" w:ascii="Times New Roman" w:hAnsi="Times New Roman" w:cs="Times New Roman"/>
                <w:bCs/>
                <w:color w:val="auto"/>
                <w:sz w:val="24"/>
                <w:szCs w:val="24"/>
                <w:lang w:val="en-US" w:eastAsia="zh-CN"/>
              </w:rPr>
              <w:t>28</w:t>
            </w:r>
            <w:r>
              <w:rPr>
                <w:rFonts w:hint="default" w:ascii="Times New Roman" w:hAnsi="Times New Roman" w:cs="Times New Roman"/>
                <w:bCs/>
                <w:color w:val="auto"/>
                <w:sz w:val="24"/>
                <w:szCs w:val="24"/>
                <w:lang w:eastAsia="zh-CN"/>
              </w:rPr>
              <w:t>mg/L、BOD</w:t>
            </w:r>
            <w:r>
              <w:rPr>
                <w:rFonts w:hint="default" w:ascii="Times New Roman" w:hAnsi="Times New Roman" w:cs="Times New Roman"/>
                <w:bCs/>
                <w:color w:val="auto"/>
                <w:sz w:val="24"/>
                <w:szCs w:val="24"/>
                <w:vertAlign w:val="subscript"/>
                <w:lang w:eastAsia="zh-CN"/>
              </w:rPr>
              <w:t>5</w:t>
            </w:r>
            <w:r>
              <w:rPr>
                <w:rFonts w:hint="default" w:ascii="Times New Roman" w:hAnsi="Times New Roman" w:cs="Times New Roman"/>
                <w:bCs/>
                <w:color w:val="auto"/>
                <w:sz w:val="24"/>
                <w:szCs w:val="24"/>
                <w:lang w:eastAsia="zh-CN"/>
              </w:rPr>
              <w:t>最大日均排放浓度为</w:t>
            </w:r>
            <w:r>
              <w:rPr>
                <w:rFonts w:hint="eastAsia" w:ascii="Times New Roman" w:hAnsi="Times New Roman" w:cs="Times New Roman"/>
                <w:bCs/>
                <w:color w:val="auto"/>
                <w:sz w:val="24"/>
                <w:szCs w:val="24"/>
                <w:lang w:val="en-US" w:eastAsia="zh-CN"/>
              </w:rPr>
              <w:t>9</w:t>
            </w:r>
            <w:r>
              <w:rPr>
                <w:rFonts w:hint="default" w:ascii="Times New Roman" w:hAnsi="Times New Roman" w:cs="Times New Roman"/>
                <w:bCs/>
                <w:color w:val="auto"/>
                <w:sz w:val="24"/>
                <w:szCs w:val="24"/>
                <w:lang w:eastAsia="zh-CN"/>
              </w:rPr>
              <w:t xml:space="preserve">.5mg/L、SS最大日均排放浓度为 </w:t>
            </w:r>
            <w:r>
              <w:rPr>
                <w:rFonts w:hint="eastAsia" w:ascii="Times New Roman" w:hAnsi="Times New Roman" w:cs="Times New Roman"/>
                <w:bCs/>
                <w:color w:val="auto"/>
                <w:sz w:val="24"/>
                <w:szCs w:val="24"/>
                <w:lang w:val="en-US" w:eastAsia="zh-CN"/>
              </w:rPr>
              <w:t>22</w:t>
            </w:r>
            <w:r>
              <w:rPr>
                <w:rFonts w:hint="default" w:ascii="Times New Roman" w:hAnsi="Times New Roman" w:cs="Times New Roman"/>
                <w:bCs/>
                <w:color w:val="auto"/>
                <w:sz w:val="24"/>
                <w:szCs w:val="24"/>
                <w:lang w:eastAsia="zh-CN"/>
              </w:rPr>
              <w:t>mg/L、NH</w:t>
            </w:r>
            <w:r>
              <w:rPr>
                <w:rFonts w:hint="default" w:ascii="Times New Roman" w:hAnsi="Times New Roman" w:cs="Times New Roman"/>
                <w:bCs/>
                <w:color w:val="auto"/>
                <w:sz w:val="24"/>
                <w:szCs w:val="24"/>
                <w:vertAlign w:val="subscript"/>
                <w:lang w:eastAsia="zh-CN"/>
              </w:rPr>
              <w:t>3</w:t>
            </w:r>
            <w:r>
              <w:rPr>
                <w:rFonts w:hint="default" w:ascii="Times New Roman" w:hAnsi="Times New Roman" w:cs="Times New Roman"/>
                <w:bCs/>
                <w:color w:val="auto"/>
                <w:sz w:val="24"/>
                <w:szCs w:val="24"/>
                <w:lang w:eastAsia="zh-CN"/>
              </w:rPr>
              <w:t>-N最大日均排放浓度为</w:t>
            </w:r>
            <w:r>
              <w:rPr>
                <w:rFonts w:hint="eastAsia" w:ascii="Times New Roman" w:hAnsi="Times New Roman" w:cs="Times New Roman"/>
                <w:bCs/>
                <w:color w:val="auto"/>
                <w:sz w:val="24"/>
                <w:szCs w:val="24"/>
                <w:lang w:val="en-US" w:eastAsia="zh-CN"/>
              </w:rPr>
              <w:t>0.056</w:t>
            </w:r>
            <w:r>
              <w:rPr>
                <w:rFonts w:hint="default" w:ascii="Times New Roman" w:hAnsi="Times New Roman" w:cs="Times New Roman"/>
                <w:bCs/>
                <w:color w:val="auto"/>
                <w:sz w:val="24"/>
                <w:szCs w:val="24"/>
                <w:lang w:eastAsia="zh-CN"/>
              </w:rPr>
              <w:t>mg/L、总氮最大日均排放浓度为</w:t>
            </w:r>
            <w:r>
              <w:rPr>
                <w:rFonts w:hint="eastAsia" w:ascii="Times New Roman" w:hAnsi="Times New Roman" w:cs="Times New Roman"/>
                <w:bCs/>
                <w:color w:val="auto"/>
                <w:sz w:val="24"/>
                <w:szCs w:val="24"/>
                <w:lang w:val="en-US" w:eastAsia="zh-CN"/>
              </w:rPr>
              <w:t>23.0</w:t>
            </w:r>
            <w:r>
              <w:rPr>
                <w:rFonts w:hint="default" w:ascii="Times New Roman" w:hAnsi="Times New Roman" w:cs="Times New Roman"/>
                <w:bCs/>
                <w:color w:val="auto"/>
                <w:sz w:val="24"/>
                <w:szCs w:val="24"/>
                <w:lang w:eastAsia="zh-CN"/>
              </w:rPr>
              <w:t>mg/L、</w:t>
            </w:r>
            <w:r>
              <w:rPr>
                <w:rFonts w:hint="eastAsia" w:ascii="Times New Roman" w:hAnsi="Times New Roman" w:cs="Times New Roman"/>
                <w:bCs/>
                <w:color w:val="auto"/>
                <w:sz w:val="24"/>
                <w:szCs w:val="24"/>
                <w:lang w:eastAsia="zh-CN"/>
              </w:rPr>
              <w:t>锌</w:t>
            </w:r>
            <w:r>
              <w:rPr>
                <w:rFonts w:hint="default" w:ascii="Times New Roman" w:hAnsi="Times New Roman" w:cs="Times New Roman"/>
                <w:bCs/>
                <w:color w:val="auto"/>
                <w:sz w:val="24"/>
                <w:szCs w:val="24"/>
                <w:lang w:eastAsia="zh-CN"/>
              </w:rPr>
              <w:t>最大日均排放浓度低于检出限、铝最大日均排放浓度低于检出限，均满足</w:t>
            </w:r>
            <w:r>
              <w:rPr>
                <w:rFonts w:hint="default" w:ascii="Times New Roman" w:hAnsi="Times New Roman" w:cs="Times New Roman"/>
                <w:color w:val="auto"/>
                <w:kern w:val="0"/>
                <w:sz w:val="24"/>
                <w:lang w:eastAsia="zh-CN"/>
              </w:rPr>
              <w:t>《污水综合排放标准》（</w:t>
            </w:r>
            <w:r>
              <w:rPr>
                <w:rFonts w:hint="default" w:ascii="Times New Roman" w:hAnsi="Times New Roman" w:cs="Times New Roman"/>
                <w:color w:val="auto"/>
                <w:kern w:val="0"/>
                <w:sz w:val="24"/>
                <w:lang w:val="en-US" w:eastAsia="zh-CN"/>
              </w:rPr>
              <w:t>GB8978-</w:t>
            </w:r>
            <w:r>
              <w:rPr>
                <w:rFonts w:hint="eastAsia" w:ascii="Times New Roman" w:hAnsi="Times New Roman" w:cs="Times New Roman"/>
                <w:color w:val="auto"/>
                <w:kern w:val="0"/>
                <w:sz w:val="24"/>
                <w:lang w:val="en-US" w:eastAsia="zh-CN"/>
              </w:rPr>
              <w:t>19</w:t>
            </w:r>
            <w:r>
              <w:rPr>
                <w:rFonts w:hint="default" w:ascii="Times New Roman" w:hAnsi="Times New Roman" w:cs="Times New Roman"/>
                <w:color w:val="auto"/>
                <w:kern w:val="0"/>
                <w:sz w:val="24"/>
                <w:lang w:val="en-US" w:eastAsia="zh-CN"/>
              </w:rPr>
              <w:t>96</w:t>
            </w:r>
            <w:r>
              <w:rPr>
                <w:rFonts w:hint="default" w:ascii="Times New Roman" w:hAnsi="Times New Roman" w:cs="Times New Roman"/>
                <w:color w:val="auto"/>
                <w:kern w:val="0"/>
                <w:sz w:val="24"/>
                <w:lang w:eastAsia="zh-CN"/>
              </w:rPr>
              <w:t>）表</w:t>
            </w:r>
            <w:r>
              <w:rPr>
                <w:rFonts w:hint="default" w:ascii="Times New Roman" w:hAnsi="Times New Roman" w:cs="Times New Roman"/>
                <w:color w:val="auto"/>
                <w:kern w:val="0"/>
                <w:sz w:val="24"/>
                <w:lang w:val="en-US" w:eastAsia="zh-CN"/>
              </w:rPr>
              <w:t>4中三级标准及</w:t>
            </w:r>
            <w:r>
              <w:rPr>
                <w:rFonts w:hint="default" w:ascii="Times New Roman" w:hAnsi="Times New Roman" w:cs="Times New Roman"/>
                <w:bCs/>
                <w:color w:val="auto"/>
                <w:sz w:val="24"/>
                <w:szCs w:val="24"/>
                <w:lang w:eastAsia="zh-CN"/>
              </w:rPr>
              <w:t>宁国市港口污水处理厂接管标准。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验收监测期间</w:t>
            </w:r>
            <w:r>
              <w:rPr>
                <w:rFonts w:hint="default" w:ascii="Times New Roman" w:hAnsi="Times New Roman" w:cs="Times New Roman"/>
                <w:sz w:val="24"/>
                <w:szCs w:val="24"/>
                <w:lang w:eastAsia="zh-CN"/>
              </w:rPr>
              <w:t>项目喷砂废气中颗粒物最大排放浓度为</w:t>
            </w:r>
            <w:r>
              <w:rPr>
                <w:rFonts w:hint="eastAsia" w:ascii="Times New Roman" w:hAnsi="Times New Roman" w:cs="Times New Roman"/>
                <w:sz w:val="24"/>
                <w:szCs w:val="24"/>
                <w:lang w:val="en-US" w:eastAsia="zh-CN"/>
              </w:rPr>
              <w:t>1.5</w:t>
            </w:r>
            <w:r>
              <w:rPr>
                <w:rFonts w:hint="default" w:ascii="Times New Roman" w:hAnsi="Times New Roman" w:cs="Times New Roman"/>
                <w:sz w:val="24"/>
                <w:szCs w:val="24"/>
                <w:lang w:eastAsia="zh-CN"/>
              </w:rPr>
              <w:t>mg/m³，丙酮擦拭过程产生的丙酮最大排放浓度为</w:t>
            </w:r>
            <w:r>
              <w:rPr>
                <w:rFonts w:hint="eastAsia" w:ascii="Times New Roman" w:hAnsi="Times New Roman" w:cs="Times New Roman"/>
                <w:sz w:val="24"/>
                <w:szCs w:val="24"/>
                <w:lang w:val="en-US" w:eastAsia="zh-CN"/>
              </w:rPr>
              <w:t>0.52</w:t>
            </w:r>
            <w:r>
              <w:rPr>
                <w:rFonts w:hint="default" w:ascii="Times New Roman" w:hAnsi="Times New Roman" w:cs="Times New Roman"/>
                <w:sz w:val="24"/>
                <w:szCs w:val="24"/>
                <w:lang w:eastAsia="zh-CN"/>
              </w:rPr>
              <w:t>mg/m³，</w:t>
            </w:r>
            <w:r>
              <w:rPr>
                <w:rFonts w:hint="eastAsia" w:ascii="Times New Roman" w:hAnsi="Times New Roman" w:cs="Times New Roman"/>
                <w:sz w:val="24"/>
                <w:szCs w:val="24"/>
                <w:lang w:eastAsia="zh-CN"/>
              </w:rPr>
              <w:t>均满足上海市《大气污染物综合排放标准》（DB31/933-2015）表1中标准限值，阳极氧化废气中硫酸雾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cs="Times New Roman"/>
                <w:sz w:val="24"/>
                <w:szCs w:val="24"/>
                <w:lang w:eastAsia="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氮氧化物最大排放浓度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均满足《电镀污染物排放标准》（GB21900-2008）表5中新建企业大气污染物排放限值</w:t>
            </w:r>
            <w:r>
              <w:rPr>
                <w:rFonts w:hint="default" w:ascii="Times New Roman" w:hAnsi="Times New Roman" w:cs="Times New Roman" w:eastAsiaTheme="minorEastAsia"/>
                <w:sz w:val="24"/>
                <w:szCs w:val="24"/>
              </w:rPr>
              <w:t>。</w:t>
            </w:r>
            <w:r>
              <w:rPr>
                <w:rFonts w:hint="default" w:ascii="Times New Roman" w:hAnsi="Times New Roman" w:cs="Times New Roman"/>
                <w:sz w:val="24"/>
                <w:szCs w:val="24"/>
                <w:lang w:eastAsia="zh-CN"/>
              </w:rPr>
              <w:t>喷砂废气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颗粒物去除效率为95.7%，</w:t>
            </w:r>
            <w:r>
              <w:rPr>
                <w:rFonts w:hint="eastAsia" w:ascii="Times New Roman" w:hAnsi="Times New Roman" w:cs="Times New Roman"/>
                <w:sz w:val="24"/>
                <w:szCs w:val="24"/>
                <w:lang w:eastAsia="zh-CN"/>
              </w:rPr>
              <w:t>阳极氧化废气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sz w:val="24"/>
                <w:szCs w:val="24"/>
                <w:lang w:eastAsia="zh-CN"/>
              </w:rPr>
              <w:t>硫酸雾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去除效率为40.9%，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氮氧化物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去除效率为98.6%，</w:t>
            </w:r>
            <w:r>
              <w:rPr>
                <w:rFonts w:hint="default" w:ascii="Times New Roman" w:hAnsi="Times New Roman" w:cs="Times New Roman"/>
                <w:sz w:val="24"/>
                <w:szCs w:val="24"/>
                <w:lang w:eastAsia="zh-CN"/>
              </w:rPr>
              <w:t>丙酮擦拭废气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sz w:val="24"/>
                <w:szCs w:val="24"/>
                <w:lang w:eastAsia="zh-CN"/>
              </w:rPr>
              <w:t>丙酮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去除效率为96.9%。</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eastAsia" w:ascii="Times New Roman" w:hAnsi="Times New Roman" w:eastAsia="宋体" w:cs="Times New Roman"/>
                <w:b w:val="0"/>
                <w:bCs w:val="0"/>
                <w:color w:val="auto"/>
                <w:sz w:val="24"/>
                <w:szCs w:val="24"/>
                <w:lang w:eastAsia="zh-CN"/>
              </w:rPr>
              <w:t>项目产生的固废主要包括一般固废、危险废物及生活垃圾。一般固废有废包装袋、布袋收集的粉尘、废离子交换树脂收集后由物资公司回收。危险废物有污水处理站污泥、废过滤芯、阳极槽废液、槽渣、废活性炭、废酸碱包装桶，暂存于危废库中，</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公司已与宁国海螺环保科技有限责任公司签订危废处置协议，收集后交其处置</w:t>
            </w:r>
            <w:r>
              <w:rPr>
                <w:rFonts w:hint="eastAsia" w:ascii="Times New Roman" w:hAnsi="Times New Roman" w:eastAsia="宋体" w:cs="Times New Roman"/>
                <w:b w:val="0"/>
                <w:bCs w:val="0"/>
                <w:color w:val="auto"/>
                <w:sz w:val="24"/>
                <w:szCs w:val="24"/>
                <w:lang w:eastAsia="zh-CN"/>
              </w:rPr>
              <w:t>。生活垃圾收集后由环卫部门清运。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5、辐射：不涉及。</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废水排入宁国市港口污水处理厂，NH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总量由宁国市港口污水处理厂调剂，本次验收不核算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本项目颗粒物排放总量为0.022</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000000"/>
                <w:sz w:val="24"/>
                <w:szCs w:val="24"/>
                <w:lang w:val="en-US" w:eastAsia="zh-CN"/>
              </w:rPr>
              <w:t>氮氧化物排放总量为0.134</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000000"/>
                <w:sz w:val="24"/>
                <w:szCs w:val="24"/>
                <w:lang w:val="en-US" w:eastAsia="zh-CN"/>
              </w:rPr>
              <w:t>VOCs排放总量为0.0048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000000"/>
                <w:sz w:val="24"/>
                <w:szCs w:val="24"/>
                <w:vertAlign w:val="baseline"/>
                <w:lang w:val="en-US" w:eastAsia="zh-CN"/>
              </w:rPr>
              <w:t>满足总量控制要求。</w:t>
            </w:r>
            <w:r>
              <w:rPr>
                <w:rFonts w:hint="eastAsia" w:ascii="Times New Roman" w:hAnsi="Times New Roman" w:eastAsia="仿宋_GB2312" w:cs="Times New Roman"/>
                <w:color w:val="000000"/>
                <w:sz w:val="21"/>
                <w:szCs w:val="21"/>
                <w:lang w:val="en-US" w:eastAsia="zh-CN"/>
              </w:rPr>
              <w:t xml:space="preserve"> </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hint="eastAsia" w:ascii="宋体" w:hAnsi="宋体" w:eastAsia="宋体" w:cs="宋体"/>
          <w:b/>
          <w:bCs/>
          <w:color w:val="auto"/>
          <w:kern w:val="2"/>
          <w:sz w:val="36"/>
          <w:szCs w:val="36"/>
          <w:lang w:val="en-US" w:eastAsia="zh-CN" w:bidi="ar-SA"/>
        </w:rPr>
      </w:pPr>
      <w:r>
        <w:rPr>
          <w:rFonts w:hint="eastAsia" w:ascii="宋体" w:hAnsi="宋体" w:eastAsia="宋体" w:cs="宋体"/>
          <w:b/>
          <w:bCs/>
          <w:color w:val="auto"/>
          <w:kern w:val="2"/>
          <w:sz w:val="36"/>
          <w:szCs w:val="36"/>
          <w:lang w:val="en-US" w:eastAsia="zh-CN" w:bidi="ar-SA"/>
        </w:rPr>
        <w:t>安徽舜派金属科技有限公司半导体设备零部件生产项目</w:t>
      </w:r>
    </w:p>
    <w:p>
      <w:pPr>
        <w:spacing w:line="360" w:lineRule="auto"/>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rPr>
        <w:t>竣工环境保护阶段性验收</w:t>
      </w:r>
      <w:r>
        <w:rPr>
          <w:rFonts w:hint="eastAsia" w:ascii="宋体" w:hAnsi="宋体" w:eastAsia="宋体" w:cs="宋体"/>
          <w:b/>
          <w:bCs/>
          <w:color w:val="auto"/>
          <w:sz w:val="36"/>
          <w:szCs w:val="36"/>
          <w:lang w:eastAsia="zh-CN"/>
        </w:rPr>
        <w:t>监测</w:t>
      </w:r>
      <w:r>
        <w:rPr>
          <w:rFonts w:hint="eastAsia" w:ascii="宋体" w:hAnsi="宋体" w:eastAsia="宋体" w:cs="宋体"/>
          <w:b/>
          <w:bCs/>
          <w:color w:val="auto"/>
          <w:sz w:val="36"/>
          <w:szCs w:val="36"/>
        </w:rPr>
        <w:t>报告</w:t>
      </w:r>
      <w:r>
        <w:rPr>
          <w:rFonts w:hint="eastAsia" w:ascii="宋体" w:hAnsi="宋体" w:eastAsia="宋体" w:cs="宋体"/>
          <w:b/>
          <w:bCs/>
          <w:color w:val="auto"/>
          <w:sz w:val="36"/>
          <w:szCs w:val="36"/>
          <w:lang w:val="en-US" w:eastAsia="zh-CN"/>
        </w:rPr>
        <w:t>意见修改清单</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4466"/>
        <w:gridCol w:w="2784"/>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序号</w:t>
            </w:r>
          </w:p>
        </w:tc>
        <w:tc>
          <w:tcPr>
            <w:tcW w:w="249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修改意见</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完成情况</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1</w:t>
            </w:r>
          </w:p>
        </w:tc>
        <w:tc>
          <w:tcPr>
            <w:tcW w:w="2496"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line="240" w:lineRule="auto"/>
              <w:ind w:leftChars="0"/>
              <w:jc w:val="center"/>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核实项目基本情况并明确验收范围，对照环评文件批复要求进一步核实污染物排放标准；核实项目本期主要生产设备及原辅料消耗清单、清洁剂成分、原辅料最大暂存量和产污节点；核实敏感环境保护目标分布变化情况。</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验收范围已明确，项目本期主要生产设备及原辅料消耗清单、清洁剂成分、原辅料最大暂存量和产污节点已核实，本项目敏感环境保护目标分布变化情况已核实无变动。</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2</w:t>
            </w:r>
          </w:p>
        </w:tc>
        <w:tc>
          <w:tcPr>
            <w:tcW w:w="2496"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line="240" w:lineRule="auto"/>
              <w:ind w:leftChars="0"/>
              <w:jc w:val="center"/>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核实喷砂、阳极氧化、溶剂擦拭工序废气收集、净化效果，附废气处理设施风机风量等参数并明确匹配情况，完善擦拭、抛光工序废气收集措施，核实污染物排放总量和环境防护距离规划控制符合情况，明确废气排气筒编号；核实水量平衡图和生产废水水量、水质及收集方式，明确应急事故池容积及相关管网建设合规情况，附废水处理工艺路线及药剂消耗、运行台账，附污水纳管协议或证明；核实固废种类、属性、产生量及处理处置途径，完善危废暂存场所建设，核实活性炭碘值、充装量是否满足环境管理相关要求，危废须适时送贮处置，附有效的危废处理处置协议；定期对车间内外地面进行环境清理，持续改善环境。</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各工段废气收集、净化效果已核实，废气净化处理工艺和相关参数已增加；污染物排放总量和环境防护距离规划控制符合情况已核实，水量平衡图已核实，清洗线新增废水预处理设施工艺已补充，危废库建设已完善，活性炭碘值、充装量满足环境管理相关要求，活性炭更换周期已明确，有效的危废处理处置协议见附件。</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3</w:t>
            </w:r>
          </w:p>
        </w:tc>
        <w:tc>
          <w:tcPr>
            <w:tcW w:w="249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明确排污许可联动情况；完善相关场所环保标志标识、环保设施内部照片；附排污许可证和敏感环境保护目标分布图；完善项目竣工环保验收登记表；规范图表，勘误文字。</w:t>
            </w:r>
          </w:p>
        </w:tc>
        <w:tc>
          <w:tcPr>
            <w:tcW w:w="1556"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安徽舜派金属科技有限公司排污许可证于2023年10月27日发证；已相关场所环保标志标识已完善，敏感环境保护目标分布图已补充</w:t>
            </w:r>
            <w:r>
              <w:rPr>
                <w:rFonts w:hint="eastAsia" w:ascii="Times New Roman" w:hAnsi="Times New Roman" w:eastAsia="仿宋" w:cs="Times New Roman"/>
                <w:color w:val="auto"/>
                <w:kern w:val="2"/>
                <w:sz w:val="24"/>
                <w:szCs w:val="24"/>
                <w:vertAlign w:val="baseline"/>
                <w:lang w:val="en-US" w:eastAsia="zh-CN" w:bidi="ar-SA"/>
              </w:rPr>
              <w:t>。</w:t>
            </w:r>
          </w:p>
        </w:tc>
        <w:tc>
          <w:tcPr>
            <w:tcW w:w="680" w:type="pct"/>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w:t>
            </w:r>
          </w:p>
        </w:tc>
      </w:tr>
    </w:tbl>
    <w:p>
      <w:pPr>
        <w:pStyle w:val="2"/>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安徽舜派金属科技有限公司</w:t>
            </w: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半导体设备零部件生产项目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安徽省宣城市宁国市经济技术开发区港口产业园明心路东侧</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C3989</w:t>
            </w:r>
          </w:p>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其他电子元件制造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 200 万件（套）半导体设备零部件</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年产50万件（套）半导体设备零部件</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审批[2020]153</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21.1</w:t>
            </w:r>
            <w:bookmarkStart w:id="5" w:name="_GoBack"/>
            <w:bookmarkEnd w:id="5"/>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2023.6</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2023.10.27</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安徽舜派金属科技有限公司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安徽舜派金属科技有限公司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sz w:val="18"/>
                <w:szCs w:val="18"/>
                <w:lang w:val="en-US" w:eastAsia="zh-CN"/>
              </w:rPr>
              <w:t>91341881MA2W271H5Q001Q</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　</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50000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630</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1.26</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30000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300</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200</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70</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3</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11</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0.225t/a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0.0004t/a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0.022t/a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0.134t/a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VOCs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0.0048t/a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spacing w:after="0"/>
                            <w:rPr>
                              <w:rStyle w:val="16"/>
                              <w:rFonts w:hint="eastAsia" w:ascii="宋体" w:hAnsi="宋体"/>
                              <w:sz w:val="28"/>
                              <w:szCs w:val="28"/>
                            </w:rPr>
                          </w:pPr>
                          <w:r>
                            <w:rPr>
                              <w:rStyle w:val="16"/>
                              <w:rFonts w:hint="eastAsia" w:ascii="宋体" w:hAnsi="宋体"/>
                              <w:sz w:val="28"/>
                              <w:szCs w:val="28"/>
                            </w:rPr>
                            <w:t>—</w:t>
                          </w:r>
                          <w:r>
                            <w:rPr>
                              <w:rStyle w:val="16"/>
                              <w:rFonts w:hint="eastAsia" w:ascii="宋体" w:hAnsi="宋体"/>
                              <w:sz w:val="20"/>
                              <w:szCs w:val="20"/>
                            </w:rPr>
                            <w:t xml:space="preserve">  </w:t>
                          </w:r>
                          <w:r>
                            <w:rPr>
                              <w:rFonts w:ascii="宋体" w:hAnsi="宋体"/>
                              <w:sz w:val="26"/>
                              <w:szCs w:val="26"/>
                            </w:rPr>
                            <w:fldChar w:fldCharType="begin"/>
                          </w:r>
                          <w:r>
                            <w:rPr>
                              <w:rStyle w:val="16"/>
                              <w:rFonts w:ascii="宋体" w:hAnsi="宋体"/>
                              <w:sz w:val="26"/>
                              <w:szCs w:val="26"/>
                            </w:rPr>
                            <w:instrText xml:space="preserve">PAGE  </w:instrText>
                          </w:r>
                          <w:r>
                            <w:rPr>
                              <w:rFonts w:ascii="宋体" w:hAnsi="宋体"/>
                              <w:sz w:val="26"/>
                              <w:szCs w:val="26"/>
                            </w:rPr>
                            <w:fldChar w:fldCharType="separate"/>
                          </w:r>
                          <w:r>
                            <w:rPr>
                              <w:rStyle w:val="16"/>
                              <w:rFonts w:ascii="宋体" w:hAnsi="宋体"/>
                              <w:sz w:val="26"/>
                              <w:szCs w:val="26"/>
                            </w:rPr>
                            <w:t>27</w:t>
                          </w:r>
                          <w:r>
                            <w:rPr>
                              <w:rFonts w:ascii="宋体" w:hAnsi="宋体"/>
                              <w:sz w:val="26"/>
                              <w:szCs w:val="26"/>
                            </w:rPr>
                            <w:fldChar w:fldCharType="end"/>
                          </w:r>
                          <w:r>
                            <w:rPr>
                              <w:rStyle w:val="16"/>
                              <w:rFonts w:hint="eastAsia" w:ascii="宋体" w:hAnsi="宋体"/>
                              <w:sz w:val="20"/>
                              <w:szCs w:val="20"/>
                            </w:rPr>
                            <w:t xml:space="preserve">  </w:t>
                          </w:r>
                          <w:r>
                            <w:rPr>
                              <w:rStyle w:val="1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spacing w:after="0"/>
                      <w:rPr>
                        <w:rStyle w:val="16"/>
                        <w:rFonts w:hint="eastAsia" w:ascii="宋体" w:hAnsi="宋体"/>
                        <w:sz w:val="28"/>
                        <w:szCs w:val="28"/>
                      </w:rPr>
                    </w:pPr>
                    <w:r>
                      <w:rPr>
                        <w:rStyle w:val="16"/>
                        <w:rFonts w:hint="eastAsia" w:ascii="宋体" w:hAnsi="宋体"/>
                        <w:sz w:val="28"/>
                        <w:szCs w:val="28"/>
                      </w:rPr>
                      <w:t>—</w:t>
                    </w:r>
                    <w:r>
                      <w:rPr>
                        <w:rStyle w:val="16"/>
                        <w:rFonts w:hint="eastAsia" w:ascii="宋体" w:hAnsi="宋体"/>
                        <w:sz w:val="20"/>
                        <w:szCs w:val="20"/>
                      </w:rPr>
                      <w:t xml:space="preserve">  </w:t>
                    </w:r>
                    <w:r>
                      <w:rPr>
                        <w:rFonts w:ascii="宋体" w:hAnsi="宋体"/>
                        <w:sz w:val="26"/>
                        <w:szCs w:val="26"/>
                      </w:rPr>
                      <w:fldChar w:fldCharType="begin"/>
                    </w:r>
                    <w:r>
                      <w:rPr>
                        <w:rStyle w:val="16"/>
                        <w:rFonts w:ascii="宋体" w:hAnsi="宋体"/>
                        <w:sz w:val="26"/>
                        <w:szCs w:val="26"/>
                      </w:rPr>
                      <w:instrText xml:space="preserve">PAGE  </w:instrText>
                    </w:r>
                    <w:r>
                      <w:rPr>
                        <w:rFonts w:ascii="宋体" w:hAnsi="宋体"/>
                        <w:sz w:val="26"/>
                        <w:szCs w:val="26"/>
                      </w:rPr>
                      <w:fldChar w:fldCharType="separate"/>
                    </w:r>
                    <w:r>
                      <w:rPr>
                        <w:rStyle w:val="16"/>
                        <w:rFonts w:ascii="宋体" w:hAnsi="宋体"/>
                        <w:sz w:val="26"/>
                        <w:szCs w:val="26"/>
                      </w:rPr>
                      <w:t>27</w:t>
                    </w:r>
                    <w:r>
                      <w:rPr>
                        <w:rFonts w:ascii="宋体" w:hAnsi="宋体"/>
                        <w:sz w:val="26"/>
                        <w:szCs w:val="26"/>
                      </w:rPr>
                      <w:fldChar w:fldCharType="end"/>
                    </w:r>
                    <w:r>
                      <w:rPr>
                        <w:rStyle w:val="16"/>
                        <w:rFonts w:hint="eastAsia" w:ascii="宋体" w:hAnsi="宋体"/>
                        <w:sz w:val="20"/>
                        <w:szCs w:val="20"/>
                      </w:rPr>
                      <w:t xml:space="preserve">  </w:t>
                    </w:r>
                    <w:r>
                      <w:rPr>
                        <w:rStyle w:val="16"/>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F25C"/>
    <w:multiLevelType w:val="singleLevel"/>
    <w:tmpl w:val="05CFF25C"/>
    <w:lvl w:ilvl="0" w:tentative="0">
      <w:start w:val="1"/>
      <w:numFmt w:val="decimal"/>
      <w:lvlText w:val="%1."/>
      <w:lvlJc w:val="left"/>
      <w:pPr>
        <w:ind w:left="425" w:hanging="425"/>
      </w:pPr>
      <w:rPr>
        <w:rFonts w:hint="default"/>
      </w:rPr>
    </w:lvl>
  </w:abstractNum>
  <w:abstractNum w:abstractNumId="1">
    <w:nsid w:val="3BD8136D"/>
    <w:multiLevelType w:val="singleLevel"/>
    <w:tmpl w:val="3BD8136D"/>
    <w:lvl w:ilvl="0" w:tentative="0">
      <w:start w:val="3"/>
      <w:numFmt w:val="chineseCounting"/>
      <w:suff w:val="nothing"/>
      <w:lvlText w:val="%1、"/>
      <w:lvlJc w:val="left"/>
      <w:rPr>
        <w:rFonts w:hint="eastAsia"/>
      </w:rPr>
    </w:lvl>
  </w:abstractNum>
  <w:abstractNum w:abstractNumId="2">
    <w:nsid w:val="50481D14"/>
    <w:multiLevelType w:val="singleLevel"/>
    <w:tmpl w:val="50481D14"/>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M1MmViMmFhNDk3NjM1YzAzM2M2ZGJhN2ZmNTUifQ=="/>
  </w:docVars>
  <w:rsids>
    <w:rsidRoot w:val="11E3099C"/>
    <w:rsid w:val="003F4A29"/>
    <w:rsid w:val="008A665D"/>
    <w:rsid w:val="010A7B87"/>
    <w:rsid w:val="01207B0A"/>
    <w:rsid w:val="01291B88"/>
    <w:rsid w:val="01353714"/>
    <w:rsid w:val="014A3F02"/>
    <w:rsid w:val="014F5A3E"/>
    <w:rsid w:val="016B574D"/>
    <w:rsid w:val="01A4698D"/>
    <w:rsid w:val="01AB781B"/>
    <w:rsid w:val="01D61EE2"/>
    <w:rsid w:val="022E6257"/>
    <w:rsid w:val="025657AD"/>
    <w:rsid w:val="02A47DC0"/>
    <w:rsid w:val="032C298F"/>
    <w:rsid w:val="03E80687"/>
    <w:rsid w:val="046B3D78"/>
    <w:rsid w:val="04E60D23"/>
    <w:rsid w:val="05444B47"/>
    <w:rsid w:val="054C5B3F"/>
    <w:rsid w:val="05880459"/>
    <w:rsid w:val="05D31F43"/>
    <w:rsid w:val="06603E17"/>
    <w:rsid w:val="066402FC"/>
    <w:rsid w:val="066B4044"/>
    <w:rsid w:val="069B2A76"/>
    <w:rsid w:val="06F27EEE"/>
    <w:rsid w:val="06FE0358"/>
    <w:rsid w:val="071A523E"/>
    <w:rsid w:val="078C2A30"/>
    <w:rsid w:val="07CE7771"/>
    <w:rsid w:val="080801E1"/>
    <w:rsid w:val="08200AB8"/>
    <w:rsid w:val="08801D0D"/>
    <w:rsid w:val="08872A6F"/>
    <w:rsid w:val="08D211FF"/>
    <w:rsid w:val="08EA4DFE"/>
    <w:rsid w:val="09282E44"/>
    <w:rsid w:val="094D02E9"/>
    <w:rsid w:val="097C6986"/>
    <w:rsid w:val="09AF2C35"/>
    <w:rsid w:val="09B0435A"/>
    <w:rsid w:val="0A51134B"/>
    <w:rsid w:val="0A776A16"/>
    <w:rsid w:val="0AF563DB"/>
    <w:rsid w:val="0AFD1579"/>
    <w:rsid w:val="0B25669C"/>
    <w:rsid w:val="0BAE4FF3"/>
    <w:rsid w:val="0C04528D"/>
    <w:rsid w:val="0C5C4C39"/>
    <w:rsid w:val="0C8F023A"/>
    <w:rsid w:val="0CC04E4F"/>
    <w:rsid w:val="0CC17E6B"/>
    <w:rsid w:val="0CC65D86"/>
    <w:rsid w:val="0D557D45"/>
    <w:rsid w:val="0DB86146"/>
    <w:rsid w:val="0DE855F3"/>
    <w:rsid w:val="0E2C21E4"/>
    <w:rsid w:val="0E351858"/>
    <w:rsid w:val="0E415563"/>
    <w:rsid w:val="0E501D2F"/>
    <w:rsid w:val="0E724D6F"/>
    <w:rsid w:val="0E8D7100"/>
    <w:rsid w:val="0EF56BA2"/>
    <w:rsid w:val="0F102DD0"/>
    <w:rsid w:val="0F132E0A"/>
    <w:rsid w:val="0F9E3EA7"/>
    <w:rsid w:val="0FA764C7"/>
    <w:rsid w:val="0FAB0EE6"/>
    <w:rsid w:val="10791E78"/>
    <w:rsid w:val="1090632E"/>
    <w:rsid w:val="10DB57FB"/>
    <w:rsid w:val="11090FE3"/>
    <w:rsid w:val="111A4278"/>
    <w:rsid w:val="11865AC3"/>
    <w:rsid w:val="11A9737A"/>
    <w:rsid w:val="11C539D3"/>
    <w:rsid w:val="11CF479B"/>
    <w:rsid w:val="11E3099C"/>
    <w:rsid w:val="11F552B3"/>
    <w:rsid w:val="129357D9"/>
    <w:rsid w:val="12E73F56"/>
    <w:rsid w:val="130318C3"/>
    <w:rsid w:val="13C56CF1"/>
    <w:rsid w:val="13EB21F9"/>
    <w:rsid w:val="14042D52"/>
    <w:rsid w:val="14A35063"/>
    <w:rsid w:val="151217EE"/>
    <w:rsid w:val="153C6003"/>
    <w:rsid w:val="159C4FF4"/>
    <w:rsid w:val="15D90D85"/>
    <w:rsid w:val="16602ED6"/>
    <w:rsid w:val="16672939"/>
    <w:rsid w:val="16AB3EC2"/>
    <w:rsid w:val="16FE6EC5"/>
    <w:rsid w:val="17170316"/>
    <w:rsid w:val="174C6196"/>
    <w:rsid w:val="175760D1"/>
    <w:rsid w:val="175B4A52"/>
    <w:rsid w:val="176D1177"/>
    <w:rsid w:val="17E639E8"/>
    <w:rsid w:val="18810C7F"/>
    <w:rsid w:val="18855DF8"/>
    <w:rsid w:val="18966319"/>
    <w:rsid w:val="18A0404F"/>
    <w:rsid w:val="18C7197B"/>
    <w:rsid w:val="18E15979"/>
    <w:rsid w:val="198E1D55"/>
    <w:rsid w:val="1A6E387C"/>
    <w:rsid w:val="1AD27C6F"/>
    <w:rsid w:val="1AF513F4"/>
    <w:rsid w:val="1B0E58BD"/>
    <w:rsid w:val="1B716AD1"/>
    <w:rsid w:val="1BCA3B90"/>
    <w:rsid w:val="1BD92E92"/>
    <w:rsid w:val="1BE97B91"/>
    <w:rsid w:val="1BF157B5"/>
    <w:rsid w:val="1C454150"/>
    <w:rsid w:val="1C4A2CFA"/>
    <w:rsid w:val="1C4A7CD9"/>
    <w:rsid w:val="1C835330"/>
    <w:rsid w:val="1CEB14BC"/>
    <w:rsid w:val="1D266050"/>
    <w:rsid w:val="1D3A1ABC"/>
    <w:rsid w:val="1E2B6D2A"/>
    <w:rsid w:val="1E365FE8"/>
    <w:rsid w:val="1E713424"/>
    <w:rsid w:val="1E91399D"/>
    <w:rsid w:val="1E960BDE"/>
    <w:rsid w:val="1EFA59E6"/>
    <w:rsid w:val="1F0411B1"/>
    <w:rsid w:val="1F685ED8"/>
    <w:rsid w:val="209A68F4"/>
    <w:rsid w:val="2122022A"/>
    <w:rsid w:val="2138405D"/>
    <w:rsid w:val="2193671F"/>
    <w:rsid w:val="21E1179F"/>
    <w:rsid w:val="21F656FB"/>
    <w:rsid w:val="21FB71F9"/>
    <w:rsid w:val="226C7787"/>
    <w:rsid w:val="22726F55"/>
    <w:rsid w:val="22765464"/>
    <w:rsid w:val="228C07D3"/>
    <w:rsid w:val="22B83C1B"/>
    <w:rsid w:val="230E1B9C"/>
    <w:rsid w:val="231A3C2B"/>
    <w:rsid w:val="23783845"/>
    <w:rsid w:val="23915854"/>
    <w:rsid w:val="23CA32B4"/>
    <w:rsid w:val="24427D80"/>
    <w:rsid w:val="2453724D"/>
    <w:rsid w:val="249A2142"/>
    <w:rsid w:val="24D202F6"/>
    <w:rsid w:val="252B6F44"/>
    <w:rsid w:val="25C97EC1"/>
    <w:rsid w:val="261D2610"/>
    <w:rsid w:val="269C3A1A"/>
    <w:rsid w:val="26E16DB9"/>
    <w:rsid w:val="27F43225"/>
    <w:rsid w:val="283A1B1D"/>
    <w:rsid w:val="28BA3E25"/>
    <w:rsid w:val="29200D04"/>
    <w:rsid w:val="292D5C81"/>
    <w:rsid w:val="293420EA"/>
    <w:rsid w:val="29A32D53"/>
    <w:rsid w:val="29E12E49"/>
    <w:rsid w:val="2A0E01F9"/>
    <w:rsid w:val="2A1F5959"/>
    <w:rsid w:val="2A2D2CA6"/>
    <w:rsid w:val="2A555590"/>
    <w:rsid w:val="2A7A79DB"/>
    <w:rsid w:val="2AF43C32"/>
    <w:rsid w:val="2AF62F4B"/>
    <w:rsid w:val="2BE453DB"/>
    <w:rsid w:val="2C3D0CC9"/>
    <w:rsid w:val="2C894B1B"/>
    <w:rsid w:val="2D001B1A"/>
    <w:rsid w:val="2D202013"/>
    <w:rsid w:val="2D232E6C"/>
    <w:rsid w:val="2E8F3DE9"/>
    <w:rsid w:val="2EE23DA1"/>
    <w:rsid w:val="2EFC4E63"/>
    <w:rsid w:val="2F3168CA"/>
    <w:rsid w:val="2FA14FDC"/>
    <w:rsid w:val="308745CC"/>
    <w:rsid w:val="30CF4CE8"/>
    <w:rsid w:val="30E221EB"/>
    <w:rsid w:val="31157D31"/>
    <w:rsid w:val="31203028"/>
    <w:rsid w:val="322C1C7D"/>
    <w:rsid w:val="326F0B3B"/>
    <w:rsid w:val="328525BE"/>
    <w:rsid w:val="32B6588D"/>
    <w:rsid w:val="334E041E"/>
    <w:rsid w:val="33D62B0E"/>
    <w:rsid w:val="34450714"/>
    <w:rsid w:val="34B45226"/>
    <w:rsid w:val="35177D3B"/>
    <w:rsid w:val="358862D2"/>
    <w:rsid w:val="35B531F5"/>
    <w:rsid w:val="35EB3E83"/>
    <w:rsid w:val="35FE7442"/>
    <w:rsid w:val="36232870"/>
    <w:rsid w:val="36415E89"/>
    <w:rsid w:val="36920C88"/>
    <w:rsid w:val="36FC36E4"/>
    <w:rsid w:val="37636FB1"/>
    <w:rsid w:val="38002AE5"/>
    <w:rsid w:val="385D5636"/>
    <w:rsid w:val="38720266"/>
    <w:rsid w:val="38B60A92"/>
    <w:rsid w:val="38BB3F25"/>
    <w:rsid w:val="39736B31"/>
    <w:rsid w:val="3BE96E33"/>
    <w:rsid w:val="3C3560F7"/>
    <w:rsid w:val="3C6E77F3"/>
    <w:rsid w:val="3D1902C4"/>
    <w:rsid w:val="3D1D1714"/>
    <w:rsid w:val="3DE2616C"/>
    <w:rsid w:val="3E0C1200"/>
    <w:rsid w:val="3E0C5804"/>
    <w:rsid w:val="3F01788A"/>
    <w:rsid w:val="3F105D61"/>
    <w:rsid w:val="3F650802"/>
    <w:rsid w:val="3F6856F2"/>
    <w:rsid w:val="3FE200A5"/>
    <w:rsid w:val="3FE35C7C"/>
    <w:rsid w:val="3FFD329E"/>
    <w:rsid w:val="40026A3B"/>
    <w:rsid w:val="400A1E7F"/>
    <w:rsid w:val="403B3CB1"/>
    <w:rsid w:val="404443F5"/>
    <w:rsid w:val="411D58E5"/>
    <w:rsid w:val="412728E5"/>
    <w:rsid w:val="419F2FC2"/>
    <w:rsid w:val="41D64FD5"/>
    <w:rsid w:val="42BB04E6"/>
    <w:rsid w:val="439607F4"/>
    <w:rsid w:val="43B57B2B"/>
    <w:rsid w:val="44301757"/>
    <w:rsid w:val="444162D1"/>
    <w:rsid w:val="4447497A"/>
    <w:rsid w:val="451C5FE1"/>
    <w:rsid w:val="45224346"/>
    <w:rsid w:val="453F29D6"/>
    <w:rsid w:val="4550160D"/>
    <w:rsid w:val="459E773C"/>
    <w:rsid w:val="45E22C40"/>
    <w:rsid w:val="45F6020C"/>
    <w:rsid w:val="463F7FFF"/>
    <w:rsid w:val="46477F5C"/>
    <w:rsid w:val="46D70238"/>
    <w:rsid w:val="46F75AF5"/>
    <w:rsid w:val="470C161A"/>
    <w:rsid w:val="473F3239"/>
    <w:rsid w:val="474156B1"/>
    <w:rsid w:val="4776463B"/>
    <w:rsid w:val="478B3F94"/>
    <w:rsid w:val="47A80F06"/>
    <w:rsid w:val="47AA21A1"/>
    <w:rsid w:val="47B440D5"/>
    <w:rsid w:val="48767174"/>
    <w:rsid w:val="48A4239B"/>
    <w:rsid w:val="49037C00"/>
    <w:rsid w:val="4955259A"/>
    <w:rsid w:val="49D85A26"/>
    <w:rsid w:val="49E36DCB"/>
    <w:rsid w:val="4A03351C"/>
    <w:rsid w:val="4A412D97"/>
    <w:rsid w:val="4A46477D"/>
    <w:rsid w:val="4A527BD5"/>
    <w:rsid w:val="4AB82869"/>
    <w:rsid w:val="4AF90A1E"/>
    <w:rsid w:val="4B8230CF"/>
    <w:rsid w:val="4BBF4AA7"/>
    <w:rsid w:val="4C013661"/>
    <w:rsid w:val="4C3103EA"/>
    <w:rsid w:val="4CBF5C1D"/>
    <w:rsid w:val="4CD46FC7"/>
    <w:rsid w:val="4D1F3CE7"/>
    <w:rsid w:val="4D510F81"/>
    <w:rsid w:val="4D9A561E"/>
    <w:rsid w:val="4DA31306"/>
    <w:rsid w:val="4DB50BA7"/>
    <w:rsid w:val="4DB85CAD"/>
    <w:rsid w:val="4DD221B5"/>
    <w:rsid w:val="4E041520"/>
    <w:rsid w:val="4E0F34AB"/>
    <w:rsid w:val="4E1116BB"/>
    <w:rsid w:val="4E655492"/>
    <w:rsid w:val="4E976402"/>
    <w:rsid w:val="4EB63D79"/>
    <w:rsid w:val="4EC47055"/>
    <w:rsid w:val="4F6B6B79"/>
    <w:rsid w:val="4FE377A5"/>
    <w:rsid w:val="50610CB1"/>
    <w:rsid w:val="50DB3F55"/>
    <w:rsid w:val="51073646"/>
    <w:rsid w:val="510B004C"/>
    <w:rsid w:val="515626A1"/>
    <w:rsid w:val="519B277A"/>
    <w:rsid w:val="51B42592"/>
    <w:rsid w:val="527914F8"/>
    <w:rsid w:val="52A373D7"/>
    <w:rsid w:val="52DD6187"/>
    <w:rsid w:val="52FD1EE9"/>
    <w:rsid w:val="53043F39"/>
    <w:rsid w:val="532768AB"/>
    <w:rsid w:val="54103035"/>
    <w:rsid w:val="55017D13"/>
    <w:rsid w:val="55933F85"/>
    <w:rsid w:val="55A22122"/>
    <w:rsid w:val="56635A8F"/>
    <w:rsid w:val="56D31838"/>
    <w:rsid w:val="575817DD"/>
    <w:rsid w:val="578F19D1"/>
    <w:rsid w:val="57B10631"/>
    <w:rsid w:val="57C01477"/>
    <w:rsid w:val="5815704C"/>
    <w:rsid w:val="583132DF"/>
    <w:rsid w:val="59780A1D"/>
    <w:rsid w:val="59C361BA"/>
    <w:rsid w:val="59C64C9B"/>
    <w:rsid w:val="59CA479D"/>
    <w:rsid w:val="59E614EC"/>
    <w:rsid w:val="5A2E5F69"/>
    <w:rsid w:val="5A354B33"/>
    <w:rsid w:val="5AC83331"/>
    <w:rsid w:val="5ADC3248"/>
    <w:rsid w:val="5AE824B9"/>
    <w:rsid w:val="5BFA49FC"/>
    <w:rsid w:val="5C2C2148"/>
    <w:rsid w:val="5C2E04A2"/>
    <w:rsid w:val="5C7B30EF"/>
    <w:rsid w:val="5CA37385"/>
    <w:rsid w:val="5CAE513F"/>
    <w:rsid w:val="5CD355C6"/>
    <w:rsid w:val="5CE15727"/>
    <w:rsid w:val="5D112254"/>
    <w:rsid w:val="5D727AA1"/>
    <w:rsid w:val="5D92592F"/>
    <w:rsid w:val="5DA7575F"/>
    <w:rsid w:val="5E23357B"/>
    <w:rsid w:val="5F724C22"/>
    <w:rsid w:val="5F784D70"/>
    <w:rsid w:val="5FDB5D6C"/>
    <w:rsid w:val="606F7B16"/>
    <w:rsid w:val="607D0DE1"/>
    <w:rsid w:val="60B21F33"/>
    <w:rsid w:val="60BD770C"/>
    <w:rsid w:val="60DA5685"/>
    <w:rsid w:val="6141185E"/>
    <w:rsid w:val="6146003C"/>
    <w:rsid w:val="61754752"/>
    <w:rsid w:val="61AA650F"/>
    <w:rsid w:val="61AA7629"/>
    <w:rsid w:val="62572E40"/>
    <w:rsid w:val="63BC1AE8"/>
    <w:rsid w:val="64B8292A"/>
    <w:rsid w:val="64BB489D"/>
    <w:rsid w:val="650859CD"/>
    <w:rsid w:val="65186287"/>
    <w:rsid w:val="654B3E73"/>
    <w:rsid w:val="656A7099"/>
    <w:rsid w:val="65A20935"/>
    <w:rsid w:val="663D12E2"/>
    <w:rsid w:val="668272C8"/>
    <w:rsid w:val="668659BA"/>
    <w:rsid w:val="670C0232"/>
    <w:rsid w:val="671D5CC4"/>
    <w:rsid w:val="67221C9C"/>
    <w:rsid w:val="6729598A"/>
    <w:rsid w:val="67665E2B"/>
    <w:rsid w:val="679D49E7"/>
    <w:rsid w:val="67B328F2"/>
    <w:rsid w:val="684D3B04"/>
    <w:rsid w:val="68782306"/>
    <w:rsid w:val="68A85F1A"/>
    <w:rsid w:val="69772E6B"/>
    <w:rsid w:val="69B93AFC"/>
    <w:rsid w:val="6A987B4F"/>
    <w:rsid w:val="6AA14535"/>
    <w:rsid w:val="6AA31959"/>
    <w:rsid w:val="6AA67D9D"/>
    <w:rsid w:val="6AB147DA"/>
    <w:rsid w:val="6AB26742"/>
    <w:rsid w:val="6AC41FD2"/>
    <w:rsid w:val="6B036B0A"/>
    <w:rsid w:val="6B1B7628"/>
    <w:rsid w:val="6B2910E1"/>
    <w:rsid w:val="6C164893"/>
    <w:rsid w:val="6C5555D6"/>
    <w:rsid w:val="6C6A1294"/>
    <w:rsid w:val="6C9F6852"/>
    <w:rsid w:val="6CA815F0"/>
    <w:rsid w:val="6CB1569B"/>
    <w:rsid w:val="6CC14897"/>
    <w:rsid w:val="6CC8124A"/>
    <w:rsid w:val="6CE53865"/>
    <w:rsid w:val="6D516228"/>
    <w:rsid w:val="6D76531D"/>
    <w:rsid w:val="6E0F7A08"/>
    <w:rsid w:val="6E2F403A"/>
    <w:rsid w:val="6E737E9F"/>
    <w:rsid w:val="6E812D4D"/>
    <w:rsid w:val="6F3D26D3"/>
    <w:rsid w:val="6FA11CA4"/>
    <w:rsid w:val="70812AE2"/>
    <w:rsid w:val="712E7F02"/>
    <w:rsid w:val="714C3AC4"/>
    <w:rsid w:val="721D0157"/>
    <w:rsid w:val="72367C35"/>
    <w:rsid w:val="72600832"/>
    <w:rsid w:val="72812A4F"/>
    <w:rsid w:val="72B71456"/>
    <w:rsid w:val="72FE50B8"/>
    <w:rsid w:val="735B1D7D"/>
    <w:rsid w:val="7367613B"/>
    <w:rsid w:val="736D0FD2"/>
    <w:rsid w:val="73974727"/>
    <w:rsid w:val="744C311D"/>
    <w:rsid w:val="75D200AA"/>
    <w:rsid w:val="76044EBB"/>
    <w:rsid w:val="7652040B"/>
    <w:rsid w:val="766E7A7C"/>
    <w:rsid w:val="76AB293C"/>
    <w:rsid w:val="76F669BA"/>
    <w:rsid w:val="77036C2F"/>
    <w:rsid w:val="77822FF8"/>
    <w:rsid w:val="77A456E9"/>
    <w:rsid w:val="77F5069A"/>
    <w:rsid w:val="780041FF"/>
    <w:rsid w:val="78185FE6"/>
    <w:rsid w:val="793F53A1"/>
    <w:rsid w:val="79486714"/>
    <w:rsid w:val="795E413F"/>
    <w:rsid w:val="79C943F8"/>
    <w:rsid w:val="79FA2DDC"/>
    <w:rsid w:val="7A521A99"/>
    <w:rsid w:val="7A6758F5"/>
    <w:rsid w:val="7AA476C0"/>
    <w:rsid w:val="7AC676A0"/>
    <w:rsid w:val="7AD6111B"/>
    <w:rsid w:val="7B4E7DC1"/>
    <w:rsid w:val="7B7642CF"/>
    <w:rsid w:val="7B9A1FBD"/>
    <w:rsid w:val="7C0F7A6E"/>
    <w:rsid w:val="7C340AC9"/>
    <w:rsid w:val="7C524A1D"/>
    <w:rsid w:val="7C9E4285"/>
    <w:rsid w:val="7CC95F46"/>
    <w:rsid w:val="7D215834"/>
    <w:rsid w:val="7D250FF6"/>
    <w:rsid w:val="7D6C4019"/>
    <w:rsid w:val="7DA63EE4"/>
    <w:rsid w:val="7DC425BD"/>
    <w:rsid w:val="7E0C2090"/>
    <w:rsid w:val="7E16190F"/>
    <w:rsid w:val="7EB6319E"/>
    <w:rsid w:val="7EC34622"/>
    <w:rsid w:val="7EFF5267"/>
    <w:rsid w:val="7F703475"/>
    <w:rsid w:val="7FDF2663"/>
    <w:rsid w:val="7FEA3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Normal Indent"/>
    <w:basedOn w:val="1"/>
    <w:next w:val="5"/>
    <w:qFormat/>
    <w:uiPriority w:val="0"/>
    <w:pPr>
      <w:ind w:firstLine="200" w:firstLineChars="200"/>
    </w:pPr>
    <w:rPr>
      <w:rFonts w:eastAsia="宋体"/>
      <w:kern w:val="2"/>
      <w:sz w:val="28"/>
      <w:szCs w:val="24"/>
      <w:lang w:val="en-US" w:eastAsia="zh-CN" w:bidi="ar-SA"/>
    </w:rPr>
  </w:style>
  <w:style w:type="paragraph" w:styleId="7">
    <w:name w:val="Salutation"/>
    <w:basedOn w:val="1"/>
    <w:next w:val="1"/>
    <w:unhideWhenUsed/>
    <w:qFormat/>
    <w:uiPriority w:val="99"/>
  </w:style>
  <w:style w:type="paragraph" w:styleId="8">
    <w:name w:val="Body Text Indent"/>
    <w:basedOn w:val="1"/>
    <w:next w:val="9"/>
    <w:qFormat/>
    <w:uiPriority w:val="0"/>
    <w:pPr>
      <w:spacing w:after="120"/>
      <w:ind w:left="420" w:leftChars="200"/>
    </w:pPr>
    <w:rPr>
      <w:kern w:val="0"/>
      <w:sz w:val="24"/>
      <w:szCs w:val="20"/>
    </w:rPr>
  </w:style>
  <w:style w:type="paragraph" w:styleId="9">
    <w:name w:val="Body Text Indent 2"/>
    <w:basedOn w:val="1"/>
    <w:next w:val="10"/>
    <w:qFormat/>
    <w:uiPriority w:val="0"/>
    <w:pPr>
      <w:spacing w:after="120" w:line="480" w:lineRule="auto"/>
      <w:ind w:left="420" w:leftChars="200"/>
    </w:pPr>
  </w:style>
  <w:style w:type="paragraph" w:styleId="10">
    <w:name w:val="Body Text First Indent 2"/>
    <w:basedOn w:val="8"/>
    <w:next w:val="1"/>
    <w:qFormat/>
    <w:uiPriority w:val="0"/>
    <w:pPr>
      <w:spacing w:after="120"/>
      <w:ind w:left="420" w:firstLine="210"/>
    </w:pPr>
    <w:rPr>
      <w:rFonts w:eastAsia="楷体_GB2312"/>
      <w:sz w:val="30"/>
    </w:rPr>
  </w:style>
  <w:style w:type="paragraph" w:styleId="11">
    <w:name w:val="footer"/>
    <w:basedOn w:val="1"/>
    <w:qFormat/>
    <w:uiPriority w:val="0"/>
    <w:pPr>
      <w:tabs>
        <w:tab w:val="center" w:pos="4153"/>
        <w:tab w:val="right" w:pos="8306"/>
      </w:tabs>
    </w:pPr>
    <w:rPr>
      <w:rFonts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paragraph" w:customStyle="1" w:styleId="1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8">
    <w:name w:val="表格标题 Char"/>
    <w:basedOn w:val="15"/>
    <w:qFormat/>
    <w:uiPriority w:val="0"/>
    <w:rPr>
      <w:rFonts w:ascii="Times New Roman" w:hAnsi="Times New Roman" w:eastAsia="宋体" w:cs="宋体"/>
      <w:kern w:val="2"/>
      <w:sz w:val="24"/>
      <w:lang w:bidi="ar-SA"/>
    </w:rPr>
  </w:style>
  <w:style w:type="paragraph" w:customStyle="1" w:styleId="19">
    <w:name w:val="Char"/>
    <w:basedOn w:val="1"/>
    <w:qFormat/>
    <w:uiPriority w:val="0"/>
    <w:pPr>
      <w:snapToGrid w:val="0"/>
      <w:spacing w:line="360" w:lineRule="auto"/>
      <w:ind w:firstLine="529" w:firstLineChars="200"/>
    </w:pPr>
    <w:rPr>
      <w:rFonts w:ascii="宋体" w:hAnsi="宋体"/>
      <w:b/>
      <w:szCs w:val="24"/>
    </w:rPr>
  </w:style>
  <w:style w:type="paragraph" w:customStyle="1" w:styleId="20">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1">
    <w:name w:val="表格文字"/>
    <w:basedOn w:val="2"/>
    <w:qFormat/>
    <w:uiPriority w:val="0"/>
    <w:pPr>
      <w:spacing w:after="0" w:line="240" w:lineRule="auto"/>
      <w:ind w:firstLine="0" w:firstLineChars="0"/>
      <w:jc w:val="center"/>
    </w:pPr>
    <w:rPr>
      <w:rFonts w:ascii="宋体" w:hAnsi="宋体" w:eastAsia="宋体"/>
      <w:sz w:val="21"/>
      <w:szCs w:val="20"/>
    </w:rPr>
  </w:style>
  <w:style w:type="paragraph" w:customStyle="1" w:styleId="22">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3">
    <w:name w:val="font11"/>
    <w:basedOn w:val="15"/>
    <w:qFormat/>
    <w:uiPriority w:val="0"/>
    <w:rPr>
      <w:rFonts w:hint="eastAsia" w:ascii="宋体" w:hAnsi="宋体" w:eastAsia="宋体" w:cs="宋体"/>
      <w:color w:val="000000"/>
      <w:sz w:val="20"/>
      <w:szCs w:val="20"/>
      <w:u w:val="none"/>
      <w:vertAlign w:val="superscript"/>
    </w:rPr>
  </w:style>
  <w:style w:type="character" w:customStyle="1" w:styleId="24">
    <w:name w:val="font21"/>
    <w:basedOn w:val="15"/>
    <w:qFormat/>
    <w:uiPriority w:val="0"/>
    <w:rPr>
      <w:rFonts w:hint="eastAsia" w:ascii="宋体" w:hAnsi="宋体" w:eastAsia="宋体" w:cs="宋体"/>
      <w:color w:val="000000"/>
      <w:sz w:val="20"/>
      <w:szCs w:val="20"/>
      <w:u w:val="none"/>
    </w:rPr>
  </w:style>
  <w:style w:type="paragraph" w:customStyle="1" w:styleId="25">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6">
    <w:name w:val="样式35"/>
    <w:basedOn w:val="1"/>
    <w:qFormat/>
    <w:uiPriority w:val="0"/>
    <w:pPr>
      <w:adjustRightInd w:val="0"/>
      <w:spacing w:line="312" w:lineRule="auto"/>
      <w:ind w:firstLine="567"/>
    </w:pPr>
    <w:rPr>
      <w:rFonts w:ascii="宋体"/>
      <w:kern w:val="0"/>
      <w:sz w:val="28"/>
      <w:szCs w:val="20"/>
    </w:rPr>
  </w:style>
  <w:style w:type="paragraph" w:customStyle="1" w:styleId="27">
    <w:name w:val="p0"/>
    <w:basedOn w:val="1"/>
    <w:qFormat/>
    <w:uiPriority w:val="0"/>
    <w:pPr>
      <w:widowControl/>
    </w:pPr>
    <w:rPr>
      <w:kern w:val="0"/>
      <w:szCs w:val="21"/>
    </w:rPr>
  </w:style>
  <w:style w:type="paragraph" w:customStyle="1" w:styleId="28">
    <w:name w:val="A标准格式"/>
    <w:basedOn w:val="1"/>
    <w:qFormat/>
    <w:uiPriority w:val="0"/>
    <w:pPr>
      <w:ind w:firstLine="480"/>
    </w:pPr>
  </w:style>
  <w:style w:type="paragraph" w:customStyle="1" w:styleId="29">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0">
    <w:name w:val="图表"/>
    <w:basedOn w:val="1"/>
    <w:qFormat/>
    <w:uiPriority w:val="0"/>
    <w:pPr>
      <w:adjustRightInd w:val="0"/>
      <w:snapToGrid w:val="0"/>
      <w:jc w:val="center"/>
    </w:pPr>
    <w:rPr>
      <w:color w:val="000000"/>
      <w:szCs w:val="22"/>
      <w:lang w:val="zh-CN"/>
    </w:rPr>
  </w:style>
  <w:style w:type="paragraph" w:customStyle="1" w:styleId="31">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2">
    <w:name w:val="表格1"/>
    <w:basedOn w:val="6"/>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4">
    <w:name w:val="表格 32"/>
    <w:basedOn w:val="1"/>
    <w:qFormat/>
    <w:uiPriority w:val="0"/>
    <w:pPr>
      <w:autoSpaceDE w:val="0"/>
      <w:autoSpaceDN w:val="0"/>
      <w:adjustRightInd w:val="0"/>
      <w:jc w:val="center"/>
      <w:textAlignment w:val="baseline"/>
    </w:pPr>
    <w:rPr>
      <w:rFonts w:ascii="宋体" w:hAnsi="Impact"/>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20019</Words>
  <Characters>23945</Characters>
  <Lines>0</Lines>
  <Paragraphs>0</Paragraphs>
  <TotalTime>208</TotalTime>
  <ScaleCrop>false</ScaleCrop>
  <LinksUpToDate>false</LinksUpToDate>
  <CharactersWithSpaces>24180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2023-11-21T08:43:11Z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FDD3C6C1278E47AD8C7876305394AC4F</vt:lpwstr>
  </property>
</Properties>
</file>